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1F" w:rsidRDefault="00D16FB1" w:rsidP="003E5205">
      <w:pPr>
        <w:jc w:val="left"/>
        <w:rPr>
          <w:rFonts w:ascii="Arial" w:hAnsi="Arial" w:cs="Arial"/>
        </w:rPr>
      </w:pPr>
      <w:bookmarkStart w:id="0" w:name="OLE_LINK1"/>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-125095</wp:posOffset>
            </wp:positionV>
            <wp:extent cx="876300" cy="876300"/>
            <wp:effectExtent l="19050" t="0" r="0" b="0"/>
            <wp:wrapNone/>
            <wp:docPr id="2" name="Picture 1" descr="CBH_Lg_Logo_CMYK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_Lg_Logo_CMYK_HR.jpg"/>
                    <pic:cNvPicPr/>
                  </pic:nvPicPr>
                  <pic:blipFill>
                    <a:blip r:embed="rId8" cstate="print"/>
                    <a:stretch>
                      <a:fillRect/>
                    </a:stretch>
                  </pic:blipFill>
                  <pic:spPr>
                    <a:xfrm>
                      <a:off x="0" y="0"/>
                      <a:ext cx="876300" cy="876300"/>
                    </a:xfrm>
                    <a:prstGeom prst="rect">
                      <a:avLst/>
                    </a:prstGeom>
                  </pic:spPr>
                </pic:pic>
              </a:graphicData>
            </a:graphic>
          </wp:anchor>
        </w:drawing>
      </w:r>
      <w:bookmarkStart w:id="1" w:name="_DV_M0"/>
      <w:bookmarkEnd w:id="0"/>
      <w:bookmarkEnd w:id="1"/>
      <w:r w:rsidR="00BB3B1F">
        <w:rPr>
          <w:rFonts w:ascii="Arial" w:hAnsi="Arial" w:cs="Arial"/>
        </w:rPr>
        <w:tab/>
      </w:r>
      <w:r w:rsidR="00BB3B1F">
        <w:rPr>
          <w:rFonts w:ascii="Arial" w:hAnsi="Arial" w:cs="Arial"/>
        </w:rPr>
        <w:tab/>
      </w:r>
    </w:p>
    <w:p w:rsidR="00BB3B1F" w:rsidRDefault="00BB3B1F" w:rsidP="00BB3B1F">
      <w:pPr>
        <w:jc w:val="center"/>
        <w:outlineLvl w:val="0"/>
        <w:rPr>
          <w:rFonts w:ascii="Arial" w:hAnsi="Arial" w:cs="Arial"/>
          <w:b/>
          <w:bCs/>
          <w:sz w:val="32"/>
          <w:szCs w:val="32"/>
        </w:rPr>
      </w:pPr>
      <w:bookmarkStart w:id="2" w:name="_DV_M1"/>
      <w:bookmarkEnd w:id="2"/>
      <w:r>
        <w:rPr>
          <w:rFonts w:ascii="Arial" w:hAnsi="Arial" w:cs="Arial"/>
          <w:b/>
          <w:bCs/>
          <w:sz w:val="32"/>
          <w:szCs w:val="32"/>
        </w:rPr>
        <w:t>City of Beverly Hills</w:t>
      </w:r>
    </w:p>
    <w:p w:rsidR="00BB3B1F" w:rsidRDefault="00BB3B1F" w:rsidP="00BB3B1F">
      <w:pPr>
        <w:jc w:val="center"/>
        <w:rPr>
          <w:rFonts w:ascii="Arial" w:hAnsi="Arial" w:cs="Arial"/>
          <w:b/>
          <w:bCs/>
          <w:sz w:val="32"/>
          <w:szCs w:val="32"/>
        </w:rPr>
      </w:pPr>
      <w:bookmarkStart w:id="3" w:name="_DV_M2"/>
      <w:bookmarkEnd w:id="3"/>
      <w:r>
        <w:rPr>
          <w:rFonts w:ascii="Arial" w:hAnsi="Arial" w:cs="Arial"/>
          <w:b/>
          <w:bCs/>
          <w:sz w:val="32"/>
          <w:szCs w:val="32"/>
        </w:rPr>
        <w:t>Statement of Investment Policy</w:t>
      </w:r>
    </w:p>
    <w:p w:rsidR="00BB3B1F" w:rsidRDefault="00BB3B1F" w:rsidP="00BB3B1F">
      <w:pPr>
        <w:spacing w:before="240"/>
        <w:jc w:val="center"/>
        <w:rPr>
          <w:rFonts w:ascii="Arial" w:hAnsi="Arial" w:cs="Arial"/>
          <w:sz w:val="32"/>
          <w:szCs w:val="32"/>
        </w:rPr>
      </w:pPr>
      <w:bookmarkStart w:id="4" w:name="_DV_M3"/>
      <w:bookmarkEnd w:id="4"/>
      <w:r>
        <w:rPr>
          <w:rFonts w:ascii="Arial" w:hAnsi="Arial" w:cs="Arial"/>
          <w:b/>
          <w:bCs/>
          <w:sz w:val="32"/>
          <w:szCs w:val="32"/>
        </w:rPr>
        <w:t xml:space="preserve">Fiscal Year </w:t>
      </w:r>
      <w:r w:rsidR="006A5B74">
        <w:rPr>
          <w:rFonts w:ascii="Arial" w:hAnsi="Arial" w:cs="Arial"/>
          <w:b/>
          <w:bCs/>
          <w:sz w:val="32"/>
          <w:szCs w:val="32"/>
        </w:rPr>
        <w:t>20</w:t>
      </w:r>
      <w:r w:rsidR="00DE3DE4">
        <w:rPr>
          <w:rFonts w:ascii="Arial" w:hAnsi="Arial" w:cs="Arial"/>
          <w:b/>
          <w:bCs/>
          <w:sz w:val="32"/>
          <w:szCs w:val="32"/>
        </w:rPr>
        <w:t>1</w:t>
      </w:r>
      <w:r w:rsidR="0072623A" w:rsidRPr="008770D3">
        <w:rPr>
          <w:rFonts w:ascii="Arial" w:hAnsi="Arial" w:cs="Arial"/>
          <w:b/>
          <w:bCs/>
          <w:sz w:val="32"/>
          <w:szCs w:val="32"/>
        </w:rPr>
        <w:t>3</w:t>
      </w:r>
      <w:r>
        <w:rPr>
          <w:rFonts w:ascii="Arial" w:hAnsi="Arial" w:cs="Arial"/>
          <w:b/>
          <w:bCs/>
          <w:sz w:val="32"/>
          <w:szCs w:val="32"/>
        </w:rPr>
        <w:t>/</w:t>
      </w:r>
      <w:r w:rsidR="006A5B74">
        <w:rPr>
          <w:rFonts w:ascii="Arial" w:hAnsi="Arial" w:cs="Arial"/>
          <w:b/>
          <w:bCs/>
          <w:sz w:val="32"/>
          <w:szCs w:val="32"/>
        </w:rPr>
        <w:t>20</w:t>
      </w:r>
      <w:r w:rsidR="00DE3DE4">
        <w:rPr>
          <w:rFonts w:ascii="Arial" w:hAnsi="Arial" w:cs="Arial"/>
          <w:b/>
          <w:bCs/>
          <w:sz w:val="32"/>
          <w:szCs w:val="32"/>
        </w:rPr>
        <w:t>1</w:t>
      </w:r>
      <w:r w:rsidR="0072623A">
        <w:rPr>
          <w:rFonts w:ascii="Arial" w:hAnsi="Arial" w:cs="Arial"/>
          <w:b/>
          <w:bCs/>
          <w:sz w:val="32"/>
          <w:szCs w:val="32"/>
        </w:rPr>
        <w:t>4</w:t>
      </w:r>
    </w:p>
    <w:p w:rsidR="00BB3B1F" w:rsidRDefault="00BB3B1F" w:rsidP="00BB3B1F">
      <w:pPr>
        <w:spacing w:before="240"/>
        <w:ind w:left="720" w:hanging="720"/>
        <w:outlineLvl w:val="0"/>
        <w:rPr>
          <w:rFonts w:ascii="Arial" w:hAnsi="Arial" w:cs="Arial"/>
          <w:b/>
          <w:bCs/>
        </w:rPr>
      </w:pPr>
      <w:bookmarkStart w:id="5" w:name="_DV_M4"/>
      <w:bookmarkEnd w:id="5"/>
      <w:r>
        <w:rPr>
          <w:rFonts w:ascii="Arial" w:hAnsi="Arial" w:cs="Arial"/>
          <w:b/>
          <w:bCs/>
        </w:rPr>
        <w:t>1.0</w:t>
      </w:r>
      <w:r>
        <w:rPr>
          <w:rFonts w:ascii="Arial" w:hAnsi="Arial" w:cs="Arial"/>
          <w:b/>
          <w:bCs/>
        </w:rPr>
        <w:tab/>
        <w:t>Policy:</w:t>
      </w:r>
    </w:p>
    <w:p w:rsidR="00BB3B1F" w:rsidRDefault="00BB3B1F" w:rsidP="00BB3B1F">
      <w:pPr>
        <w:spacing w:before="240"/>
        <w:rPr>
          <w:rFonts w:ascii="Arial" w:hAnsi="Arial" w:cs="Arial"/>
        </w:rPr>
      </w:pPr>
      <w:bookmarkStart w:id="6" w:name="_DV_M5"/>
      <w:bookmarkEnd w:id="6"/>
      <w:r>
        <w:rPr>
          <w:rFonts w:ascii="Arial" w:hAnsi="Arial" w:cs="Arial"/>
        </w:rPr>
        <w:t xml:space="preserve">This Investment Policy applies to the City of Beverly Hills </w:t>
      </w:r>
      <w:r w:rsidR="00170D7F">
        <w:rPr>
          <w:rFonts w:ascii="Arial" w:hAnsi="Arial" w:cs="Arial"/>
        </w:rPr>
        <w:t xml:space="preserve">(the City). </w:t>
      </w:r>
      <w:bookmarkStart w:id="7" w:name="_DV_M6"/>
      <w:bookmarkEnd w:id="7"/>
      <w:r>
        <w:rPr>
          <w:rFonts w:ascii="Arial" w:hAnsi="Arial" w:cs="Arial"/>
        </w:rPr>
        <w:t xml:space="preserve">It is the policy of </w:t>
      </w:r>
      <w:r w:rsidR="00E32E9E">
        <w:rPr>
          <w:rFonts w:ascii="Arial" w:hAnsi="Arial" w:cs="Arial"/>
        </w:rPr>
        <w:t xml:space="preserve">the </w:t>
      </w:r>
      <w:r w:rsidR="00A3676A">
        <w:rPr>
          <w:rFonts w:ascii="Arial" w:hAnsi="Arial" w:cs="Arial"/>
        </w:rPr>
        <w:t xml:space="preserve">City Of Beverly Hills </w:t>
      </w:r>
      <w:r>
        <w:rPr>
          <w:rFonts w:ascii="Arial" w:hAnsi="Arial" w:cs="Arial"/>
        </w:rPr>
        <w:t xml:space="preserve">to protect, preserve and maintain their respective assets. The </w:t>
      </w:r>
      <w:r w:rsidR="00A3676A">
        <w:rPr>
          <w:rFonts w:ascii="Arial" w:hAnsi="Arial" w:cs="Arial"/>
        </w:rPr>
        <w:t>City Of Beverly Hills</w:t>
      </w:r>
      <w:r>
        <w:rPr>
          <w:rFonts w:ascii="Arial" w:hAnsi="Arial" w:cs="Arial"/>
        </w:rPr>
        <w:t xml:space="preserve"> shall invest public funds in a manner that will provide the highest investment return commensurate with maximum security, while meeting the respective cash flow demands of each agency and conforming to all State and Local statues governing the investment of public funds.</w:t>
      </w:r>
    </w:p>
    <w:p w:rsidR="00BB3B1F" w:rsidRDefault="00BB3B1F" w:rsidP="00BB3B1F">
      <w:pPr>
        <w:spacing w:before="240"/>
        <w:ind w:left="720" w:hanging="720"/>
        <w:outlineLvl w:val="0"/>
        <w:rPr>
          <w:rFonts w:ascii="Arial" w:hAnsi="Arial" w:cs="Arial"/>
          <w:b/>
          <w:bCs/>
        </w:rPr>
      </w:pPr>
      <w:bookmarkStart w:id="8" w:name="_DV_M7"/>
      <w:bookmarkEnd w:id="8"/>
      <w:r>
        <w:rPr>
          <w:rFonts w:ascii="Arial" w:hAnsi="Arial" w:cs="Arial"/>
          <w:b/>
          <w:bCs/>
        </w:rPr>
        <w:t>2.0</w:t>
      </w:r>
      <w:r>
        <w:rPr>
          <w:rFonts w:ascii="Arial" w:hAnsi="Arial" w:cs="Arial"/>
          <w:b/>
          <w:bCs/>
        </w:rPr>
        <w:tab/>
        <w:t>Scope:</w:t>
      </w:r>
    </w:p>
    <w:p w:rsidR="00BB3B1F" w:rsidRDefault="00BB3B1F" w:rsidP="00BB3B1F">
      <w:pPr>
        <w:spacing w:before="240"/>
        <w:rPr>
          <w:rFonts w:ascii="Arial" w:hAnsi="Arial" w:cs="Arial"/>
        </w:rPr>
      </w:pPr>
      <w:bookmarkStart w:id="9" w:name="_DV_M8"/>
      <w:bookmarkEnd w:id="9"/>
      <w:r>
        <w:rPr>
          <w:rFonts w:ascii="Arial" w:hAnsi="Arial" w:cs="Arial"/>
        </w:rPr>
        <w:t>The City follows the practice of pooling cash and investments of all funds, except for funds required to be held by outside fiscal agents under the provisions of bond indentures, funds in the City's employee deferred compensation plan, or other funds as designated by the City Council or Chief Financial Officer.  Funds contained in the City's pool are designated as "General Portfolio".  This investment policy applies to the investment of surplus funds contained in the "General Portfolio".  These funds are accounted for in the Comprehensive Annual Financial Report and include:</w:t>
      </w:r>
    </w:p>
    <w:p w:rsidR="00BB3B1F" w:rsidRDefault="00BB3B1F" w:rsidP="00BB3B1F">
      <w:pPr>
        <w:spacing w:before="240"/>
        <w:ind w:left="720"/>
        <w:rPr>
          <w:rFonts w:ascii="Arial" w:hAnsi="Arial" w:cs="Arial"/>
        </w:rPr>
      </w:pPr>
      <w:bookmarkStart w:id="10" w:name="_DV_M9"/>
      <w:bookmarkEnd w:id="10"/>
      <w:r>
        <w:rPr>
          <w:rFonts w:ascii="Arial" w:hAnsi="Arial" w:cs="Arial"/>
        </w:rPr>
        <w:t>The General Fund</w:t>
      </w:r>
    </w:p>
    <w:p w:rsidR="00BB3B1F" w:rsidRDefault="00BB3B1F" w:rsidP="00BB3B1F">
      <w:pPr>
        <w:ind w:left="720"/>
        <w:rPr>
          <w:rFonts w:ascii="Arial" w:hAnsi="Arial" w:cs="Arial"/>
        </w:rPr>
      </w:pPr>
      <w:bookmarkStart w:id="11" w:name="_DV_M10"/>
      <w:bookmarkEnd w:id="11"/>
      <w:r>
        <w:rPr>
          <w:rFonts w:ascii="Arial" w:hAnsi="Arial" w:cs="Arial"/>
        </w:rPr>
        <w:t>All Special Revenue Funds</w:t>
      </w:r>
    </w:p>
    <w:p w:rsidR="00BB3B1F" w:rsidRDefault="00BB3B1F" w:rsidP="00BB3B1F">
      <w:pPr>
        <w:ind w:left="720"/>
        <w:rPr>
          <w:rFonts w:ascii="Arial" w:hAnsi="Arial" w:cs="Arial"/>
        </w:rPr>
      </w:pPr>
      <w:bookmarkStart w:id="12" w:name="_DV_M11"/>
      <w:bookmarkEnd w:id="12"/>
      <w:r>
        <w:rPr>
          <w:rFonts w:ascii="Arial" w:hAnsi="Arial" w:cs="Arial"/>
        </w:rPr>
        <w:t>All Debt Service Funds</w:t>
      </w:r>
    </w:p>
    <w:p w:rsidR="00BB3B1F" w:rsidRDefault="00BB3B1F" w:rsidP="00BB3B1F">
      <w:pPr>
        <w:ind w:left="720"/>
        <w:rPr>
          <w:rFonts w:ascii="Arial" w:hAnsi="Arial" w:cs="Arial"/>
        </w:rPr>
      </w:pPr>
      <w:bookmarkStart w:id="13" w:name="_DV_M12"/>
      <w:bookmarkEnd w:id="13"/>
      <w:r>
        <w:rPr>
          <w:rFonts w:ascii="Arial" w:hAnsi="Arial" w:cs="Arial"/>
        </w:rPr>
        <w:t>All Capital Projects Funds</w:t>
      </w:r>
    </w:p>
    <w:p w:rsidR="00BB3B1F" w:rsidRDefault="00BB3B1F" w:rsidP="00BB3B1F">
      <w:pPr>
        <w:ind w:left="720"/>
        <w:rPr>
          <w:rFonts w:ascii="Arial" w:hAnsi="Arial" w:cs="Arial"/>
        </w:rPr>
      </w:pPr>
      <w:bookmarkStart w:id="14" w:name="_DV_M13"/>
      <w:bookmarkEnd w:id="14"/>
      <w:r>
        <w:rPr>
          <w:rFonts w:ascii="Arial" w:hAnsi="Arial" w:cs="Arial"/>
        </w:rPr>
        <w:t>All Enterprise Funds</w:t>
      </w:r>
    </w:p>
    <w:p w:rsidR="00BB3B1F" w:rsidRDefault="00BB3B1F" w:rsidP="00BB3B1F">
      <w:pPr>
        <w:ind w:left="720"/>
        <w:rPr>
          <w:rFonts w:ascii="Arial" w:hAnsi="Arial" w:cs="Arial"/>
        </w:rPr>
      </w:pPr>
      <w:bookmarkStart w:id="15" w:name="_DV_M14"/>
      <w:bookmarkEnd w:id="15"/>
      <w:r>
        <w:rPr>
          <w:rFonts w:ascii="Arial" w:hAnsi="Arial" w:cs="Arial"/>
        </w:rPr>
        <w:t>All Internal Service Funds</w:t>
      </w:r>
    </w:p>
    <w:p w:rsidR="00BB3B1F" w:rsidRDefault="00BB3B1F" w:rsidP="00BB3B1F">
      <w:pPr>
        <w:ind w:left="720"/>
        <w:rPr>
          <w:rFonts w:ascii="Arial" w:hAnsi="Arial" w:cs="Arial"/>
        </w:rPr>
      </w:pPr>
      <w:bookmarkStart w:id="16" w:name="_DV_M15"/>
      <w:bookmarkEnd w:id="16"/>
      <w:r>
        <w:rPr>
          <w:rFonts w:ascii="Arial" w:hAnsi="Arial" w:cs="Arial"/>
        </w:rPr>
        <w:t>All Trust and Agency Funds</w:t>
      </w:r>
    </w:p>
    <w:p w:rsidR="00BB3B1F" w:rsidRDefault="00BB3B1F" w:rsidP="00BB3B1F">
      <w:pPr>
        <w:spacing w:before="240"/>
        <w:ind w:left="720" w:hanging="720"/>
        <w:outlineLvl w:val="0"/>
        <w:rPr>
          <w:rFonts w:ascii="Arial" w:hAnsi="Arial" w:cs="Arial"/>
          <w:b/>
          <w:bCs/>
        </w:rPr>
      </w:pPr>
      <w:bookmarkStart w:id="17" w:name="_DV_M16"/>
      <w:bookmarkStart w:id="18" w:name="_DV_M17"/>
      <w:bookmarkStart w:id="19" w:name="_DV_M18"/>
      <w:bookmarkEnd w:id="17"/>
      <w:bookmarkEnd w:id="18"/>
      <w:bookmarkEnd w:id="19"/>
      <w:r>
        <w:rPr>
          <w:rFonts w:ascii="Arial" w:hAnsi="Arial" w:cs="Arial"/>
          <w:b/>
          <w:bCs/>
        </w:rPr>
        <w:t>3.0</w:t>
      </w:r>
      <w:r>
        <w:rPr>
          <w:rFonts w:ascii="Arial" w:hAnsi="Arial" w:cs="Arial"/>
          <w:b/>
          <w:bCs/>
        </w:rPr>
        <w:tab/>
        <w:t>Prudence:</w:t>
      </w:r>
    </w:p>
    <w:p w:rsidR="00BB3B1F" w:rsidRDefault="00BB3B1F" w:rsidP="00BB3B1F">
      <w:pPr>
        <w:spacing w:before="240"/>
        <w:rPr>
          <w:rFonts w:ascii="Arial" w:hAnsi="Arial" w:cs="Arial"/>
        </w:rPr>
      </w:pPr>
      <w:bookmarkStart w:id="20" w:name="_DV_M19"/>
      <w:bookmarkEnd w:id="20"/>
      <w:r>
        <w:rPr>
          <w:rFonts w:ascii="Arial" w:hAnsi="Arial" w:cs="Arial"/>
        </w:rPr>
        <w:t xml:space="preserve">The </w:t>
      </w:r>
      <w:r w:rsidR="00A75E0A">
        <w:rPr>
          <w:rFonts w:ascii="Arial" w:hAnsi="Arial" w:cs="Arial"/>
        </w:rPr>
        <w:t xml:space="preserve">City Of Beverly Hills </w:t>
      </w:r>
      <w:r w:rsidR="00170D7F">
        <w:rPr>
          <w:rFonts w:ascii="Arial" w:hAnsi="Arial" w:cs="Arial"/>
        </w:rPr>
        <w:t>is held</w:t>
      </w:r>
      <w:r>
        <w:rPr>
          <w:rFonts w:ascii="Arial" w:hAnsi="Arial" w:cs="Arial"/>
        </w:rPr>
        <w:t xml:space="preserve"> to the prudent investor standard set forth in Section 53600.3 of the Government Code </w:t>
      </w:r>
      <w:r w:rsidR="00170D7F">
        <w:rPr>
          <w:rFonts w:ascii="Arial" w:hAnsi="Arial" w:cs="Arial"/>
        </w:rPr>
        <w:t xml:space="preserve">which </w:t>
      </w:r>
      <w:r>
        <w:rPr>
          <w:rFonts w:ascii="Arial" w:hAnsi="Arial" w:cs="Arial"/>
        </w:rPr>
        <w:t>states:  “When investing, reinvesting, purchasing, acquiring, exchanging, selling</w:t>
      </w:r>
      <w:r w:rsidR="001E1A95">
        <w:rPr>
          <w:rFonts w:ascii="Arial" w:hAnsi="Arial" w:cs="Arial"/>
        </w:rPr>
        <w:t>,</w:t>
      </w:r>
      <w:r>
        <w:rPr>
          <w:rFonts w:ascii="Arial" w:hAnsi="Arial" w:cs="Arial"/>
        </w:rPr>
        <w:t xml:space="preserve"> or managing public funds, a trustee shall act with care, skill, prudence and diligence under the circumstances then prevailing, including, but not limited to, the general economic conditions and the anticipated needs of the agency, that a prudent person acting in a like capacity and familiarity with those matters would use in the conduct of funds of a like character and with like aims</w:t>
      </w:r>
      <w:r w:rsidR="001647A9">
        <w:rPr>
          <w:rFonts w:ascii="Arial" w:hAnsi="Arial" w:cs="Arial"/>
        </w:rPr>
        <w:t>,</w:t>
      </w:r>
      <w:r>
        <w:rPr>
          <w:rFonts w:ascii="Arial" w:hAnsi="Arial" w:cs="Arial"/>
        </w:rPr>
        <w:t xml:space="preserve"> to safeguard the </w:t>
      </w:r>
      <w:r w:rsidR="005A5EB5">
        <w:rPr>
          <w:rFonts w:ascii="Arial" w:hAnsi="Arial" w:cs="Arial"/>
        </w:rPr>
        <w:t xml:space="preserve">principal </w:t>
      </w:r>
      <w:r>
        <w:rPr>
          <w:rFonts w:ascii="Arial" w:hAnsi="Arial" w:cs="Arial"/>
        </w:rPr>
        <w:t>and maintain the liquidity needs of the agency.”</w:t>
      </w:r>
    </w:p>
    <w:p w:rsidR="00BB3B1F" w:rsidRDefault="00BB3B1F" w:rsidP="00BB3B1F">
      <w:pPr>
        <w:spacing w:before="240"/>
        <w:ind w:left="720" w:hanging="720"/>
        <w:rPr>
          <w:rFonts w:ascii="Arial" w:hAnsi="Arial" w:cs="Arial"/>
          <w:b/>
          <w:bCs/>
        </w:rPr>
      </w:pPr>
      <w:bookmarkStart w:id="21" w:name="_DV_M20"/>
      <w:bookmarkEnd w:id="21"/>
      <w:r>
        <w:rPr>
          <w:rFonts w:ascii="Arial" w:hAnsi="Arial" w:cs="Arial"/>
          <w:b/>
          <w:bCs/>
        </w:rPr>
        <w:t>4.0</w:t>
      </w:r>
      <w:r>
        <w:rPr>
          <w:rFonts w:ascii="Arial" w:hAnsi="Arial" w:cs="Arial"/>
          <w:b/>
          <w:bCs/>
        </w:rPr>
        <w:tab/>
        <w:t>Objectives:</w:t>
      </w:r>
    </w:p>
    <w:p w:rsidR="00BB3B1F" w:rsidRDefault="001E1A95" w:rsidP="00BB3B1F">
      <w:pPr>
        <w:spacing w:before="240" w:line="240" w:lineRule="atLeast"/>
        <w:rPr>
          <w:rFonts w:ascii="Arial" w:hAnsi="Arial" w:cs="Arial"/>
        </w:rPr>
      </w:pPr>
      <w:bookmarkStart w:id="22" w:name="_DV_M21"/>
      <w:bookmarkEnd w:id="22"/>
      <w:r>
        <w:rPr>
          <w:rFonts w:ascii="Arial" w:hAnsi="Arial" w:cs="Arial"/>
        </w:rPr>
        <w:t>The primary objectives</w:t>
      </w:r>
      <w:r w:rsidR="00BB3B1F">
        <w:rPr>
          <w:rFonts w:ascii="Arial" w:hAnsi="Arial" w:cs="Arial"/>
        </w:rPr>
        <w:t xml:space="preserve">, of the investment activities of the </w:t>
      </w:r>
      <w:r w:rsidR="00A75E0A">
        <w:rPr>
          <w:rFonts w:ascii="Arial" w:hAnsi="Arial" w:cs="Arial"/>
        </w:rPr>
        <w:t xml:space="preserve">City </w:t>
      </w:r>
      <w:r>
        <w:rPr>
          <w:rFonts w:ascii="Arial" w:hAnsi="Arial" w:cs="Arial"/>
        </w:rPr>
        <w:t>O</w:t>
      </w:r>
      <w:r w:rsidR="00A75E0A">
        <w:rPr>
          <w:rFonts w:ascii="Arial" w:hAnsi="Arial" w:cs="Arial"/>
        </w:rPr>
        <w:t>f Beverly Hills</w:t>
      </w:r>
      <w:r w:rsidR="00BB3B1F">
        <w:rPr>
          <w:rFonts w:ascii="Arial" w:hAnsi="Arial" w:cs="Arial"/>
        </w:rPr>
        <w:t xml:space="preserve"> </w:t>
      </w:r>
      <w:r>
        <w:rPr>
          <w:rFonts w:ascii="Arial" w:hAnsi="Arial" w:cs="Arial"/>
        </w:rPr>
        <w:t xml:space="preserve">in priority order </w:t>
      </w:r>
      <w:r w:rsidR="00BB3B1F">
        <w:rPr>
          <w:rFonts w:ascii="Arial" w:hAnsi="Arial" w:cs="Arial"/>
        </w:rPr>
        <w:t>shall be:</w:t>
      </w:r>
    </w:p>
    <w:p w:rsidR="00BB3B1F" w:rsidRDefault="00BB3B1F" w:rsidP="00BB3B1F">
      <w:pPr>
        <w:spacing w:before="240" w:line="240" w:lineRule="atLeast"/>
        <w:ind w:firstLine="1440"/>
        <w:rPr>
          <w:rFonts w:ascii="Arial" w:hAnsi="Arial" w:cs="Arial"/>
        </w:rPr>
      </w:pPr>
      <w:bookmarkStart w:id="23" w:name="_DV_M22"/>
      <w:bookmarkEnd w:id="23"/>
      <w:r>
        <w:rPr>
          <w:rFonts w:ascii="Arial" w:hAnsi="Arial" w:cs="Arial"/>
          <w:b/>
          <w:bCs/>
        </w:rPr>
        <w:lastRenderedPageBreak/>
        <w:t>4.1.</w:t>
      </w:r>
      <w:r>
        <w:rPr>
          <w:rFonts w:ascii="Arial" w:hAnsi="Arial" w:cs="Arial"/>
          <w:b/>
          <w:bCs/>
        </w:rPr>
        <w:tab/>
        <w:t>Safety:</w:t>
      </w:r>
      <w:r>
        <w:rPr>
          <w:rFonts w:ascii="Arial" w:hAnsi="Arial" w:cs="Arial"/>
          <w:b/>
          <w:bCs/>
        </w:rPr>
        <w:tab/>
      </w:r>
      <w:r>
        <w:rPr>
          <w:rFonts w:ascii="Arial" w:hAnsi="Arial" w:cs="Arial"/>
        </w:rPr>
        <w:t>Safety of principal is the foremost objective of the investment program.  “Safety” means that the overall value of invested public funds shall not be diminished in the process of securing and investing those funds or over the duration of the investments.  To attain this objective, portfolio diversification is required.</w:t>
      </w:r>
    </w:p>
    <w:p w:rsidR="00BB3B1F" w:rsidRDefault="00BB3B1F" w:rsidP="00BB3B1F">
      <w:pPr>
        <w:tabs>
          <w:tab w:val="left" w:pos="-720"/>
        </w:tabs>
        <w:spacing w:before="240" w:line="240" w:lineRule="atLeast"/>
        <w:ind w:firstLine="1440"/>
        <w:rPr>
          <w:rFonts w:ascii="Arial" w:hAnsi="Arial" w:cs="Arial"/>
        </w:rPr>
      </w:pPr>
      <w:bookmarkStart w:id="24" w:name="_DV_M23"/>
      <w:bookmarkEnd w:id="24"/>
      <w:r>
        <w:rPr>
          <w:rFonts w:ascii="Arial" w:hAnsi="Arial" w:cs="Arial"/>
          <w:b/>
          <w:bCs/>
        </w:rPr>
        <w:t>4.2.</w:t>
      </w:r>
      <w:r>
        <w:rPr>
          <w:rFonts w:ascii="Arial" w:hAnsi="Arial" w:cs="Arial"/>
          <w:b/>
          <w:bCs/>
        </w:rPr>
        <w:tab/>
        <w:t>Liquidity:</w:t>
      </w:r>
      <w:r>
        <w:rPr>
          <w:rFonts w:ascii="Arial" w:hAnsi="Arial" w:cs="Arial"/>
        </w:rPr>
        <w:tab/>
        <w:t xml:space="preserve">The investment portfolio of the </w:t>
      </w:r>
      <w:r w:rsidR="00A75E0A">
        <w:rPr>
          <w:rFonts w:ascii="Arial" w:hAnsi="Arial" w:cs="Arial"/>
        </w:rPr>
        <w:t xml:space="preserve">City Of Beverly Hills </w:t>
      </w:r>
      <w:r>
        <w:rPr>
          <w:rFonts w:ascii="Arial" w:hAnsi="Arial" w:cs="Arial"/>
        </w:rPr>
        <w:t>will remain sufficiently liquid to enable such agency to meet all operating requirements of such agency which might be reasonably anticipated.</w:t>
      </w:r>
    </w:p>
    <w:p w:rsidR="00BB3B1F" w:rsidRDefault="00BB3B1F" w:rsidP="00BB3B1F">
      <w:pPr>
        <w:tabs>
          <w:tab w:val="left" w:pos="-720"/>
        </w:tabs>
        <w:spacing w:before="240" w:line="240" w:lineRule="atLeast"/>
        <w:ind w:firstLine="1440"/>
        <w:rPr>
          <w:rFonts w:ascii="Arial" w:hAnsi="Arial" w:cs="Arial"/>
        </w:rPr>
      </w:pPr>
      <w:bookmarkStart w:id="25" w:name="_DV_M24"/>
      <w:bookmarkEnd w:id="25"/>
      <w:r>
        <w:rPr>
          <w:rFonts w:ascii="Arial" w:hAnsi="Arial" w:cs="Arial"/>
        </w:rPr>
        <w:t xml:space="preserve">Additionally, since all possible cash demands cannot be anticipated, a large portion of the securities held should be those for which active secondary markets exist.  The liquidity of each type of authorized investment is included in its description in </w:t>
      </w:r>
      <w:r w:rsidR="001E1A95">
        <w:rPr>
          <w:rFonts w:ascii="Arial" w:hAnsi="Arial" w:cs="Arial"/>
        </w:rPr>
        <w:t>Section 8</w:t>
      </w:r>
      <w:r>
        <w:rPr>
          <w:rFonts w:ascii="Arial" w:hAnsi="Arial" w:cs="Arial"/>
        </w:rPr>
        <w:t xml:space="preserve"> "Authorized </w:t>
      </w:r>
      <w:r w:rsidR="005F10A9">
        <w:rPr>
          <w:rFonts w:ascii="Arial" w:hAnsi="Arial" w:cs="Arial"/>
        </w:rPr>
        <w:t xml:space="preserve">and Suitable </w:t>
      </w:r>
      <w:r>
        <w:rPr>
          <w:rFonts w:ascii="Arial" w:hAnsi="Arial" w:cs="Arial"/>
        </w:rPr>
        <w:t xml:space="preserve">Investments" </w:t>
      </w:r>
      <w:r w:rsidR="001E1A95">
        <w:rPr>
          <w:rFonts w:ascii="Arial" w:hAnsi="Arial" w:cs="Arial"/>
        </w:rPr>
        <w:t>hereof</w:t>
      </w:r>
      <w:r>
        <w:rPr>
          <w:rFonts w:ascii="Arial" w:hAnsi="Arial" w:cs="Arial"/>
        </w:rPr>
        <w:t>.</w:t>
      </w:r>
    </w:p>
    <w:p w:rsidR="00BB3B1F" w:rsidRDefault="00BB3B1F" w:rsidP="00BB3B1F">
      <w:pPr>
        <w:tabs>
          <w:tab w:val="left" w:pos="-720"/>
        </w:tabs>
        <w:spacing w:before="240" w:line="240" w:lineRule="atLeast"/>
        <w:ind w:firstLine="1440"/>
        <w:rPr>
          <w:rFonts w:ascii="Arial" w:hAnsi="Arial" w:cs="Arial"/>
        </w:rPr>
      </w:pPr>
      <w:bookmarkStart w:id="26" w:name="_DV_M25"/>
      <w:bookmarkEnd w:id="26"/>
      <w:r>
        <w:rPr>
          <w:rFonts w:ascii="Arial" w:hAnsi="Arial" w:cs="Arial"/>
          <w:b/>
          <w:bCs/>
        </w:rPr>
        <w:t>4.3.</w:t>
      </w:r>
      <w:r>
        <w:rPr>
          <w:rFonts w:ascii="Arial" w:hAnsi="Arial" w:cs="Arial"/>
          <w:b/>
          <w:bCs/>
        </w:rPr>
        <w:tab/>
        <w:t>Return on Investment (Yield):</w:t>
      </w:r>
      <w:r>
        <w:rPr>
          <w:rFonts w:ascii="Arial" w:hAnsi="Arial" w:cs="Arial"/>
        </w:rPr>
        <w:tab/>
        <w:t>The investment portfolio shall be designed with the objective of attaining a rate of return throughout budgetary and economic cycles, commensurate with the investment risk constraints and the cash flow characteristics of such portfolio.</w:t>
      </w:r>
    </w:p>
    <w:p w:rsidR="00BB3B1F" w:rsidRDefault="00BB3B1F" w:rsidP="00BB3B1F">
      <w:pPr>
        <w:tabs>
          <w:tab w:val="left" w:pos="-720"/>
        </w:tabs>
        <w:spacing w:before="240" w:line="240" w:lineRule="atLeast"/>
        <w:rPr>
          <w:rFonts w:ascii="Arial" w:hAnsi="Arial" w:cs="Arial"/>
        </w:rPr>
      </w:pPr>
      <w:bookmarkStart w:id="27" w:name="_DV_M26"/>
      <w:bookmarkEnd w:id="27"/>
      <w:r>
        <w:rPr>
          <w:rFonts w:ascii="Arial" w:hAnsi="Arial" w:cs="Arial"/>
        </w:rPr>
        <w:t>In general, the California Government Code limits authorized investments to those classes of securities which have lower risk (and therefore lower yields) than other higher risk investment choices.  In each investment transaction the anticipated return on investment is subordinate to the preceding requirements of reduction of credit and interest rate risk.</w:t>
      </w:r>
    </w:p>
    <w:p w:rsidR="00BB3B1F" w:rsidRDefault="00BB3B1F" w:rsidP="00BB3B1F">
      <w:pPr>
        <w:tabs>
          <w:tab w:val="left" w:pos="-720"/>
        </w:tabs>
        <w:spacing w:before="240" w:line="240" w:lineRule="atLeast"/>
        <w:outlineLvl w:val="0"/>
        <w:rPr>
          <w:rFonts w:ascii="Arial" w:hAnsi="Arial" w:cs="Arial"/>
        </w:rPr>
      </w:pPr>
      <w:bookmarkStart w:id="28" w:name="_DV_M27"/>
      <w:bookmarkEnd w:id="28"/>
      <w:r>
        <w:rPr>
          <w:rFonts w:ascii="Arial" w:hAnsi="Arial" w:cs="Arial"/>
          <w:b/>
          <w:bCs/>
        </w:rPr>
        <w:t>5.0</w:t>
      </w:r>
      <w:r>
        <w:rPr>
          <w:rFonts w:ascii="Arial" w:hAnsi="Arial" w:cs="Arial"/>
          <w:b/>
          <w:bCs/>
        </w:rPr>
        <w:tab/>
        <w:t>Delegation of Authority:</w:t>
      </w:r>
    </w:p>
    <w:p w:rsidR="00BB3B1F" w:rsidRDefault="00BB3B1F" w:rsidP="00BB3B1F">
      <w:pPr>
        <w:spacing w:before="240" w:line="240" w:lineRule="atLeast"/>
        <w:rPr>
          <w:rFonts w:ascii="Arial" w:hAnsi="Arial" w:cs="Arial"/>
        </w:rPr>
      </w:pPr>
      <w:bookmarkStart w:id="29" w:name="_DV_M28"/>
      <w:bookmarkEnd w:id="29"/>
      <w:r>
        <w:rPr>
          <w:rFonts w:ascii="Arial" w:hAnsi="Arial" w:cs="Arial"/>
        </w:rPr>
        <w:t xml:space="preserve">Authority to manage the investment program of the </w:t>
      </w:r>
      <w:r w:rsidR="00A75E0A">
        <w:rPr>
          <w:rFonts w:ascii="Arial" w:hAnsi="Arial" w:cs="Arial"/>
        </w:rPr>
        <w:t xml:space="preserve">City Of Beverly Hills </w:t>
      </w:r>
      <w:r>
        <w:rPr>
          <w:rFonts w:ascii="Arial" w:hAnsi="Arial" w:cs="Arial"/>
        </w:rPr>
        <w:t>is derived from Government Code Sec. 53601 and 53607 (which respectively authorize a legislative body to invest public funds, and the legislative body’s delegation of such authority to the treasurer of the corresponding agency), Municipal Code Sec. 2-3.1</w:t>
      </w:r>
      <w:r w:rsidR="006F7C45">
        <w:rPr>
          <w:rFonts w:ascii="Arial" w:hAnsi="Arial" w:cs="Arial"/>
        </w:rPr>
        <w:t>1</w:t>
      </w:r>
      <w:r>
        <w:rPr>
          <w:rFonts w:ascii="Arial" w:hAnsi="Arial" w:cs="Arial"/>
        </w:rPr>
        <w:t>01 (which establishes the elected office of City Treasurer), and  Municipal Code Sec. 2-3.1</w:t>
      </w:r>
      <w:r w:rsidR="006F7C45">
        <w:rPr>
          <w:rFonts w:ascii="Arial" w:hAnsi="Arial" w:cs="Arial"/>
        </w:rPr>
        <w:t>1</w:t>
      </w:r>
      <w:r>
        <w:rPr>
          <w:rFonts w:ascii="Arial" w:hAnsi="Arial" w:cs="Arial"/>
        </w:rPr>
        <w:t>02 (which defines the Treasurer's duties and functions as those prescribed by the State Government Code commencing with Section 41000).  Pursuant to Government Code Section 53607, the City Council delegate</w:t>
      </w:r>
      <w:r w:rsidR="00302A2B">
        <w:rPr>
          <w:rFonts w:ascii="Arial" w:hAnsi="Arial" w:cs="Arial"/>
        </w:rPr>
        <w:t>s</w:t>
      </w:r>
      <w:r>
        <w:rPr>
          <w:rFonts w:ascii="Arial" w:hAnsi="Arial" w:cs="Arial"/>
        </w:rPr>
        <w:t xml:space="preserve"> the authority to invest or reinvest surplus </w:t>
      </w:r>
      <w:r w:rsidR="00961BB9">
        <w:rPr>
          <w:rFonts w:ascii="Arial" w:hAnsi="Arial" w:cs="Arial"/>
        </w:rPr>
        <w:t>funds,</w:t>
      </w:r>
      <w:r>
        <w:rPr>
          <w:rFonts w:ascii="Arial" w:hAnsi="Arial" w:cs="Arial"/>
        </w:rPr>
        <w:t xml:space="preserve"> and to sell or exchange securities so purchased for and on behalf of </w:t>
      </w:r>
      <w:r w:rsidR="00302A2B">
        <w:rPr>
          <w:rFonts w:ascii="Arial" w:hAnsi="Arial" w:cs="Arial"/>
        </w:rPr>
        <w:t>the City</w:t>
      </w:r>
      <w:r>
        <w:rPr>
          <w:rFonts w:ascii="Arial" w:hAnsi="Arial" w:cs="Arial"/>
        </w:rPr>
        <w:t xml:space="preserve">, to the </w:t>
      </w:r>
      <w:r w:rsidR="00E32E9E">
        <w:rPr>
          <w:rFonts w:ascii="Arial" w:hAnsi="Arial" w:cs="Arial"/>
        </w:rPr>
        <w:t xml:space="preserve">City </w:t>
      </w:r>
      <w:r>
        <w:rPr>
          <w:rFonts w:ascii="Arial" w:hAnsi="Arial" w:cs="Arial"/>
        </w:rPr>
        <w:t xml:space="preserve">Treasurer for the one-year period commencing from the date of adoption of this Investment Policy.  No person may engage in an investment transaction except as provided under the terms of this policy.  The </w:t>
      </w:r>
      <w:r w:rsidR="00E32E9E">
        <w:rPr>
          <w:rFonts w:ascii="Arial" w:hAnsi="Arial" w:cs="Arial"/>
        </w:rPr>
        <w:t xml:space="preserve">City </w:t>
      </w:r>
      <w:r>
        <w:rPr>
          <w:rFonts w:ascii="Arial" w:hAnsi="Arial" w:cs="Arial"/>
        </w:rPr>
        <w:t>Treasurer shall be responsible for all transactions undertaken and shall establish a system of controls to regulate the activities of subordinate officials.</w:t>
      </w:r>
    </w:p>
    <w:p w:rsidR="00BB3B1F" w:rsidRDefault="00BB3B1F" w:rsidP="00BB3B1F">
      <w:pPr>
        <w:spacing w:before="240" w:line="240" w:lineRule="atLeast"/>
        <w:rPr>
          <w:rFonts w:ascii="Arial" w:hAnsi="Arial" w:cs="Arial"/>
        </w:rPr>
      </w:pPr>
      <w:bookmarkStart w:id="30" w:name="_DV_M29"/>
      <w:bookmarkEnd w:id="30"/>
      <w:r>
        <w:rPr>
          <w:rFonts w:ascii="Arial" w:hAnsi="Arial" w:cs="Arial"/>
        </w:rPr>
        <w:t xml:space="preserve">The City Treasurer has appointed as Deputy City Treasurers the City's Chief Financial Officer and Assistant Director of Administrative Services – Finance with responsibility for treasury operations and the reporting thereof under the Treasurer's general direction.  The City Treasurer has also established an Investment Committee consisting of the Treasurer, the Chief Financial Officer and the Assistant Director of Administrative Services – Finance (Deputy City Treasurers) with responsibility for determining the City’s investment program and establishing written procedures for the operation of the </w:t>
      </w:r>
      <w:r>
        <w:rPr>
          <w:rFonts w:ascii="Arial" w:hAnsi="Arial" w:cs="Arial"/>
        </w:rPr>
        <w:lastRenderedPageBreak/>
        <w:t>investment program consistent with the Investment Policy.  The City Treasurer may appoint other ex officio Deputy Treasurers to provide advice on investments.</w:t>
      </w:r>
    </w:p>
    <w:p w:rsidR="00BB3B1F" w:rsidRDefault="00BB3B1F" w:rsidP="00BB3B1F">
      <w:pPr>
        <w:spacing w:before="240" w:line="240" w:lineRule="atLeast"/>
        <w:outlineLvl w:val="0"/>
        <w:rPr>
          <w:rFonts w:ascii="Arial" w:hAnsi="Arial" w:cs="Arial"/>
          <w:b/>
          <w:bCs/>
        </w:rPr>
      </w:pPr>
      <w:bookmarkStart w:id="31" w:name="_DV_M30"/>
      <w:bookmarkEnd w:id="31"/>
      <w:r>
        <w:rPr>
          <w:rFonts w:ascii="Arial" w:hAnsi="Arial" w:cs="Arial"/>
          <w:b/>
          <w:bCs/>
        </w:rPr>
        <w:t>6.0</w:t>
      </w:r>
      <w:r>
        <w:rPr>
          <w:rFonts w:ascii="Arial" w:hAnsi="Arial" w:cs="Arial"/>
          <w:b/>
          <w:bCs/>
        </w:rPr>
        <w:tab/>
        <w:t>Ethics and Conflicts of Interest:</w:t>
      </w:r>
    </w:p>
    <w:p w:rsidR="00BB3B1F" w:rsidRDefault="00BB3B1F" w:rsidP="00BB3B1F">
      <w:pPr>
        <w:spacing w:before="240" w:line="240" w:lineRule="atLeast"/>
        <w:rPr>
          <w:rFonts w:ascii="Arial" w:hAnsi="Arial" w:cs="Arial"/>
        </w:rPr>
      </w:pPr>
      <w:bookmarkStart w:id="32" w:name="_DV_M31"/>
      <w:bookmarkEnd w:id="32"/>
      <w:r>
        <w:rPr>
          <w:rFonts w:ascii="Arial" w:hAnsi="Arial" w:cs="Arial"/>
        </w:rPr>
        <w:t>Officers and employees involved in the investment process are required by the City of Beverly Hills’ Conflict of Interest Policy and State Government Code Section 81000 to disclose annually to the City Council any material financial interests in financial institutions that conduct business within the City and further to disclose any large personal financial/investment positions that could be related to the performance of the City, particularly with regard to the time of purchase and sales, as part of the City's conflict of interest reporting requirements.</w:t>
      </w:r>
    </w:p>
    <w:p w:rsidR="00BB3B1F" w:rsidRDefault="00BB3B1F" w:rsidP="00BB3B1F">
      <w:pPr>
        <w:spacing w:before="240" w:line="240" w:lineRule="atLeast"/>
        <w:rPr>
          <w:rFonts w:ascii="Arial" w:hAnsi="Arial" w:cs="Arial"/>
        </w:rPr>
      </w:pPr>
      <w:bookmarkStart w:id="33" w:name="_DV_M32"/>
      <w:bookmarkEnd w:id="33"/>
      <w:r>
        <w:rPr>
          <w:rFonts w:ascii="Arial" w:hAnsi="Arial" w:cs="Arial"/>
        </w:rPr>
        <w:t>Said employees shall also comply with the City’s Administrative Regulation (AR 3B.3) Acceptance of Gifts as a result of being employees of the City of Beverly Hills.</w:t>
      </w:r>
    </w:p>
    <w:p w:rsidR="00BB3B1F" w:rsidRDefault="00BB3B1F" w:rsidP="00BB3B1F">
      <w:pPr>
        <w:spacing w:before="240" w:line="240" w:lineRule="atLeast"/>
        <w:rPr>
          <w:rFonts w:ascii="Arial" w:hAnsi="Arial" w:cs="Arial"/>
          <w:b/>
          <w:bCs/>
        </w:rPr>
      </w:pPr>
      <w:bookmarkStart w:id="34" w:name="_DV_M33"/>
      <w:bookmarkEnd w:id="34"/>
      <w:r>
        <w:rPr>
          <w:rFonts w:ascii="Arial" w:hAnsi="Arial" w:cs="Arial"/>
          <w:b/>
          <w:bCs/>
        </w:rPr>
        <w:t>7.0</w:t>
      </w:r>
      <w:r>
        <w:rPr>
          <w:rFonts w:ascii="Arial" w:hAnsi="Arial" w:cs="Arial"/>
          <w:b/>
          <w:bCs/>
        </w:rPr>
        <w:tab/>
        <w:t>Authorized Financial Dealers, Institutions and Portfolio Managers:</w:t>
      </w:r>
    </w:p>
    <w:p w:rsidR="00BB3B1F" w:rsidRDefault="00BB3B1F" w:rsidP="00BB3B1F">
      <w:pPr>
        <w:spacing w:before="240" w:line="240" w:lineRule="atLeast"/>
        <w:rPr>
          <w:rFonts w:ascii="Arial" w:hAnsi="Arial" w:cs="Arial"/>
        </w:rPr>
      </w:pPr>
      <w:bookmarkStart w:id="35" w:name="_DV_M34"/>
      <w:bookmarkEnd w:id="35"/>
      <w:r>
        <w:rPr>
          <w:rFonts w:ascii="Arial" w:hAnsi="Arial" w:cs="Arial"/>
        </w:rPr>
        <w:t xml:space="preserve">The </w:t>
      </w:r>
      <w:r w:rsidR="008F4139">
        <w:rPr>
          <w:rFonts w:ascii="Arial" w:hAnsi="Arial" w:cs="Arial"/>
        </w:rPr>
        <w:t xml:space="preserve">City </w:t>
      </w:r>
      <w:r>
        <w:rPr>
          <w:rFonts w:ascii="Arial" w:hAnsi="Arial" w:cs="Arial"/>
        </w:rPr>
        <w:t>Treasurer will maintain a list of financial institutions authorized to provide investment services, including portfolio management</w:t>
      </w:r>
      <w:r w:rsidR="006341D1">
        <w:rPr>
          <w:rFonts w:ascii="Arial" w:hAnsi="Arial" w:cs="Arial"/>
        </w:rPr>
        <w:t>. T</w:t>
      </w:r>
      <w:r>
        <w:rPr>
          <w:rFonts w:ascii="Arial" w:hAnsi="Arial" w:cs="Arial"/>
        </w:rPr>
        <w:t xml:space="preserve">he Treasurer </w:t>
      </w:r>
      <w:r w:rsidR="006341D1">
        <w:rPr>
          <w:rFonts w:ascii="Arial" w:hAnsi="Arial" w:cs="Arial"/>
        </w:rPr>
        <w:t xml:space="preserve">will provide </w:t>
      </w:r>
      <w:r>
        <w:rPr>
          <w:rFonts w:ascii="Arial" w:hAnsi="Arial" w:cs="Arial"/>
        </w:rPr>
        <w:t xml:space="preserve">suitable safeguards to prevent abuse in the exercise of discretion by a portfolio manager and </w:t>
      </w:r>
      <w:r w:rsidR="006341D1">
        <w:rPr>
          <w:rFonts w:ascii="Arial" w:hAnsi="Arial" w:cs="Arial"/>
        </w:rPr>
        <w:t xml:space="preserve">will </w:t>
      </w:r>
      <w:r>
        <w:rPr>
          <w:rFonts w:ascii="Arial" w:hAnsi="Arial" w:cs="Arial"/>
        </w:rPr>
        <w:t xml:space="preserve">remain responsible for any investment decisions made by the portfolio manager.  In addition, a list will also be maintained of security broker/dealers approved to provide direct services to the </w:t>
      </w:r>
      <w:r w:rsidR="00005C8D">
        <w:rPr>
          <w:rFonts w:ascii="Arial" w:hAnsi="Arial" w:cs="Arial"/>
        </w:rPr>
        <w:t>City Of Beverly Hills</w:t>
      </w:r>
      <w:r>
        <w:rPr>
          <w:rFonts w:ascii="Arial" w:hAnsi="Arial" w:cs="Arial"/>
        </w:rPr>
        <w:t xml:space="preserve">. These broker/dealers shall be selected by credit worthiness and be authorized to provide broker-dealer services in the State of California.  In addition, broker dealers selected for the list shall meet the requirements of Government Code Section 53601.5 (which currently requires that they be one of the following: (i) an institution licensed by the state as a broker-dealer, as defined in Section 25004 of the Corporations Code, (ii) a member of a federally regulated securities exchange, (iii) a national or state-chartered bank, (iv) a savings association or federal association (as defined by Section 5102 of the Financial Code), or (v) a brokerage firm designated as a primary government dealer by the Federal Reserve Bank).  These may include "primary" dealers or regional dealers that qualify under Securities &amp; Exchange Commission Rule 15C3-1 (uniform net capital rule).  No public deposit shall be made except in a qualified public depository as established by state law.  Financial institutions authorized to provide investment services to the </w:t>
      </w:r>
      <w:r w:rsidR="00005C8D">
        <w:rPr>
          <w:rFonts w:ascii="Arial" w:hAnsi="Arial" w:cs="Arial"/>
        </w:rPr>
        <w:t>City Of Beverly Hills</w:t>
      </w:r>
      <w:r>
        <w:rPr>
          <w:rFonts w:ascii="Arial" w:hAnsi="Arial" w:cs="Arial"/>
        </w:rPr>
        <w:t xml:space="preserve"> including portfolio management, shall utilize security broker/dealers who are duly licensed and authorized to provide investment services in the State of California but shall not be limited to the list of approved broker/dealers maintained by the </w:t>
      </w:r>
      <w:r w:rsidR="00005C8D">
        <w:rPr>
          <w:rFonts w:ascii="Arial" w:hAnsi="Arial" w:cs="Arial"/>
        </w:rPr>
        <w:t>City Of Beverly Hills</w:t>
      </w:r>
      <w:r>
        <w:rPr>
          <w:rFonts w:ascii="Arial" w:hAnsi="Arial" w:cs="Arial"/>
        </w:rPr>
        <w:t>.</w:t>
      </w:r>
    </w:p>
    <w:p w:rsidR="00BB3B1F" w:rsidRDefault="00BB3B1F" w:rsidP="00BB3B1F">
      <w:pPr>
        <w:spacing w:before="240" w:line="240" w:lineRule="atLeast"/>
        <w:rPr>
          <w:rFonts w:ascii="Arial" w:hAnsi="Arial" w:cs="Arial"/>
        </w:rPr>
      </w:pPr>
      <w:bookmarkStart w:id="36" w:name="_DV_M35"/>
      <w:bookmarkEnd w:id="36"/>
      <w:r>
        <w:rPr>
          <w:rFonts w:ascii="Arial" w:hAnsi="Arial" w:cs="Arial"/>
        </w:rPr>
        <w:t xml:space="preserve">Anyone providing financial services to the </w:t>
      </w:r>
      <w:r w:rsidR="00005C8D">
        <w:rPr>
          <w:rFonts w:ascii="Arial" w:hAnsi="Arial" w:cs="Arial"/>
        </w:rPr>
        <w:t>City Of Beverly Hills</w:t>
      </w:r>
      <w:r>
        <w:rPr>
          <w:rFonts w:ascii="Arial" w:hAnsi="Arial" w:cs="Arial"/>
        </w:rPr>
        <w:t xml:space="preserve">, including portfolio </w:t>
      </w:r>
      <w:r w:rsidR="00961BB9">
        <w:rPr>
          <w:rFonts w:ascii="Arial" w:hAnsi="Arial" w:cs="Arial"/>
        </w:rPr>
        <w:t>management</w:t>
      </w:r>
      <w:r>
        <w:rPr>
          <w:rFonts w:ascii="Arial" w:hAnsi="Arial" w:cs="Arial"/>
        </w:rPr>
        <w:t xml:space="preserve"> must adhere to the investment policies of the </w:t>
      </w:r>
      <w:r w:rsidR="00005C8D">
        <w:rPr>
          <w:rFonts w:ascii="Arial" w:hAnsi="Arial" w:cs="Arial"/>
        </w:rPr>
        <w:t>City Of Beverly Hills</w:t>
      </w:r>
      <w:r>
        <w:rPr>
          <w:rFonts w:ascii="Arial" w:hAnsi="Arial" w:cs="Arial"/>
        </w:rPr>
        <w:t xml:space="preserve"> as adopted annually by the City Council.</w:t>
      </w:r>
    </w:p>
    <w:p w:rsidR="00BB3B1F" w:rsidRDefault="00BB3B1F" w:rsidP="00BB3B1F">
      <w:pPr>
        <w:spacing w:before="240" w:line="240" w:lineRule="atLeast"/>
        <w:rPr>
          <w:rFonts w:ascii="Arial" w:hAnsi="Arial" w:cs="Arial"/>
        </w:rPr>
      </w:pPr>
      <w:bookmarkStart w:id="37" w:name="_DV_M36"/>
      <w:bookmarkEnd w:id="37"/>
      <w:r>
        <w:rPr>
          <w:rFonts w:ascii="Arial" w:hAnsi="Arial" w:cs="Arial"/>
        </w:rPr>
        <w:t xml:space="preserve">All financial institutions and broker/dealers who desire to become qualified bidders for investment transactions, including portfolio management, must supply the </w:t>
      </w:r>
      <w:r w:rsidR="00E609D7">
        <w:rPr>
          <w:rFonts w:ascii="Arial" w:hAnsi="Arial" w:cs="Arial"/>
        </w:rPr>
        <w:t xml:space="preserve">City </w:t>
      </w:r>
      <w:r>
        <w:rPr>
          <w:rFonts w:ascii="Arial" w:hAnsi="Arial" w:cs="Arial"/>
        </w:rPr>
        <w:t>Treasurer with the following:</w:t>
      </w:r>
    </w:p>
    <w:p w:rsidR="00BB3B1F" w:rsidRDefault="00BB3B1F" w:rsidP="001E1A95">
      <w:pPr>
        <w:keepNext/>
        <w:spacing w:before="240" w:line="240" w:lineRule="atLeast"/>
        <w:ind w:firstLine="720"/>
        <w:rPr>
          <w:rFonts w:ascii="Arial" w:hAnsi="Arial" w:cs="Arial"/>
        </w:rPr>
      </w:pPr>
      <w:bookmarkStart w:id="38" w:name="_DV_M37"/>
      <w:bookmarkEnd w:id="38"/>
      <w:r>
        <w:rPr>
          <w:rFonts w:ascii="Arial" w:hAnsi="Arial" w:cs="Arial"/>
        </w:rPr>
        <w:t>Audited financial statements</w:t>
      </w:r>
    </w:p>
    <w:p w:rsidR="00BB3B1F" w:rsidRDefault="00BB3B1F" w:rsidP="00BB3B1F">
      <w:pPr>
        <w:spacing w:line="240" w:lineRule="atLeast"/>
        <w:ind w:left="720"/>
        <w:rPr>
          <w:rFonts w:ascii="Arial" w:hAnsi="Arial" w:cs="Arial"/>
        </w:rPr>
      </w:pPr>
      <w:bookmarkStart w:id="39" w:name="_DV_M38"/>
      <w:bookmarkEnd w:id="39"/>
      <w:r>
        <w:rPr>
          <w:rFonts w:ascii="Arial" w:hAnsi="Arial" w:cs="Arial"/>
        </w:rPr>
        <w:t>Proof of Financial Industry Regulatory Authority (FINRA) certification</w:t>
      </w:r>
    </w:p>
    <w:p w:rsidR="00BB3B1F" w:rsidRDefault="00BB3B1F" w:rsidP="00BB3B1F">
      <w:pPr>
        <w:spacing w:line="240" w:lineRule="atLeast"/>
        <w:ind w:left="720"/>
        <w:rPr>
          <w:rFonts w:ascii="Arial" w:hAnsi="Arial" w:cs="Arial"/>
        </w:rPr>
      </w:pPr>
      <w:bookmarkStart w:id="40" w:name="_DV_M39"/>
      <w:bookmarkEnd w:id="40"/>
      <w:r>
        <w:rPr>
          <w:rFonts w:ascii="Arial" w:hAnsi="Arial" w:cs="Arial"/>
        </w:rPr>
        <w:t>Proof of State registration</w:t>
      </w:r>
    </w:p>
    <w:p w:rsidR="00BB3B1F" w:rsidRDefault="00BB3B1F" w:rsidP="00BB3B1F">
      <w:pPr>
        <w:spacing w:line="240" w:lineRule="atLeast"/>
        <w:ind w:left="720"/>
        <w:rPr>
          <w:rFonts w:ascii="Arial" w:hAnsi="Arial" w:cs="Arial"/>
        </w:rPr>
      </w:pPr>
      <w:bookmarkStart w:id="41" w:name="_DV_M40"/>
      <w:bookmarkEnd w:id="41"/>
      <w:r>
        <w:rPr>
          <w:rFonts w:ascii="Arial" w:hAnsi="Arial" w:cs="Arial"/>
        </w:rPr>
        <w:t xml:space="preserve">Certification of having read and understood the investment policy and the depository contracts of the City </w:t>
      </w:r>
    </w:p>
    <w:p w:rsidR="00BB3B1F" w:rsidRDefault="00BB3B1F" w:rsidP="00BB3B1F">
      <w:pPr>
        <w:spacing w:before="240" w:line="240" w:lineRule="atLeast"/>
        <w:rPr>
          <w:rFonts w:ascii="Arial" w:hAnsi="Arial" w:cs="Arial"/>
        </w:rPr>
      </w:pPr>
      <w:bookmarkStart w:id="42" w:name="_DV_M41"/>
      <w:bookmarkEnd w:id="42"/>
      <w:r>
        <w:rPr>
          <w:rFonts w:ascii="Arial" w:hAnsi="Arial" w:cs="Arial"/>
        </w:rPr>
        <w:t xml:space="preserve">A current audited financial statement is required to be on file for each financial institution, broker/dealer and portfolio manager with which the </w:t>
      </w:r>
      <w:r w:rsidR="00176992">
        <w:rPr>
          <w:rFonts w:ascii="Arial" w:hAnsi="Arial" w:cs="Arial"/>
        </w:rPr>
        <w:t>City Of Beverly Hills</w:t>
      </w:r>
      <w:r>
        <w:rPr>
          <w:rFonts w:ascii="Arial" w:hAnsi="Arial" w:cs="Arial"/>
        </w:rPr>
        <w:t xml:space="preserve"> invests.</w:t>
      </w:r>
    </w:p>
    <w:p w:rsidR="00BB3B1F" w:rsidRDefault="00BB3B1F" w:rsidP="00BB3B1F">
      <w:pPr>
        <w:spacing w:before="240" w:line="240" w:lineRule="atLeast"/>
        <w:outlineLvl w:val="0"/>
        <w:rPr>
          <w:rFonts w:ascii="Arial" w:hAnsi="Arial" w:cs="Arial"/>
          <w:b/>
          <w:bCs/>
        </w:rPr>
      </w:pPr>
      <w:bookmarkStart w:id="43" w:name="_DV_M42"/>
      <w:bookmarkEnd w:id="43"/>
      <w:r>
        <w:rPr>
          <w:rFonts w:ascii="Arial" w:hAnsi="Arial" w:cs="Arial"/>
          <w:b/>
          <w:bCs/>
        </w:rPr>
        <w:t>8.0</w:t>
      </w:r>
      <w:r>
        <w:rPr>
          <w:rFonts w:ascii="Arial" w:hAnsi="Arial" w:cs="Arial"/>
          <w:b/>
          <w:bCs/>
        </w:rPr>
        <w:tab/>
        <w:t>Authorized and Suitable Investments:</w:t>
      </w:r>
    </w:p>
    <w:p w:rsidR="00BB3B1F" w:rsidRDefault="00BB3B1F" w:rsidP="00BB3B1F">
      <w:pPr>
        <w:tabs>
          <w:tab w:val="left" w:pos="-720"/>
        </w:tabs>
        <w:spacing w:before="240" w:line="240" w:lineRule="atLeast"/>
        <w:rPr>
          <w:rFonts w:ascii="Arial" w:hAnsi="Arial" w:cs="Arial"/>
        </w:rPr>
      </w:pPr>
      <w:bookmarkStart w:id="44" w:name="_DV_M43"/>
      <w:bookmarkEnd w:id="44"/>
      <w:r>
        <w:rPr>
          <w:rFonts w:ascii="Arial" w:hAnsi="Arial" w:cs="Arial"/>
        </w:rPr>
        <w:t xml:space="preserve">Investable funds, which include funds not needed for the immediate needs of the </w:t>
      </w:r>
      <w:r w:rsidR="00176992">
        <w:rPr>
          <w:rFonts w:ascii="Arial" w:hAnsi="Arial" w:cs="Arial"/>
        </w:rPr>
        <w:t>City Of Beverly Hills</w:t>
      </w:r>
      <w:r>
        <w:rPr>
          <w:rFonts w:ascii="Arial" w:hAnsi="Arial" w:cs="Arial"/>
        </w:rPr>
        <w:t>, are determined by the Chief Financial Officer.</w:t>
      </w:r>
    </w:p>
    <w:p w:rsidR="00BB3B1F" w:rsidRDefault="00BB3B1F" w:rsidP="00BB3B1F">
      <w:pPr>
        <w:tabs>
          <w:tab w:val="left" w:pos="-720"/>
        </w:tabs>
        <w:spacing w:before="240" w:line="240" w:lineRule="atLeast"/>
        <w:rPr>
          <w:rFonts w:ascii="Arial" w:hAnsi="Arial" w:cs="Arial"/>
        </w:rPr>
      </w:pPr>
      <w:bookmarkStart w:id="45" w:name="_DV_M44"/>
      <w:bookmarkEnd w:id="45"/>
      <w:r>
        <w:rPr>
          <w:rFonts w:ascii="Arial" w:hAnsi="Arial" w:cs="Arial"/>
        </w:rPr>
        <w:t xml:space="preserve">The list of eligible securities, into which investable funds may be placed, is drawn from the approved investments contained in the California Government Code Sections 53600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limited further by the provisions of this Policy.</w:t>
      </w:r>
    </w:p>
    <w:p w:rsidR="00BB3B1F" w:rsidRDefault="00BB3B1F" w:rsidP="00BB3B1F">
      <w:pPr>
        <w:tabs>
          <w:tab w:val="left" w:pos="-720"/>
        </w:tabs>
        <w:spacing w:line="240" w:lineRule="atLeast"/>
        <w:rPr>
          <w:rFonts w:ascii="Arial" w:hAnsi="Arial" w:cs="Arial"/>
        </w:rPr>
      </w:pPr>
      <w:bookmarkStart w:id="46" w:name="_DV_M45"/>
      <w:bookmarkEnd w:id="46"/>
      <w:r>
        <w:rPr>
          <w:rFonts w:ascii="Arial" w:hAnsi="Arial" w:cs="Arial"/>
        </w:rPr>
        <w:br/>
        <w:t xml:space="preserve">For eligibility as an investment for the </w:t>
      </w:r>
      <w:r w:rsidR="00176992">
        <w:rPr>
          <w:rFonts w:ascii="Arial" w:hAnsi="Arial" w:cs="Arial"/>
        </w:rPr>
        <w:t>City Of Beverly Hills</w:t>
      </w:r>
      <w:r>
        <w:rPr>
          <w:rFonts w:ascii="Arial" w:hAnsi="Arial" w:cs="Arial"/>
        </w:rPr>
        <w:t xml:space="preserve">, the following restrictions should be added to those contained in the California Government Code Sections 53601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They are:</w:t>
      </w:r>
    </w:p>
    <w:p w:rsidR="00BB3B1F" w:rsidRDefault="00BB3B1F" w:rsidP="00BB3B1F">
      <w:pPr>
        <w:tabs>
          <w:tab w:val="left" w:pos="-720"/>
          <w:tab w:val="left" w:pos="1440"/>
        </w:tabs>
        <w:spacing w:line="240" w:lineRule="atLeast"/>
        <w:rPr>
          <w:rFonts w:ascii="Arial" w:hAnsi="Arial" w:cs="Arial"/>
          <w:b/>
          <w:bCs/>
        </w:rPr>
      </w:pPr>
    </w:p>
    <w:p w:rsidR="00BB3B1F" w:rsidRPr="00AB1F4D" w:rsidRDefault="00BB3B1F" w:rsidP="0022652A">
      <w:pPr>
        <w:tabs>
          <w:tab w:val="left" w:pos="-720"/>
          <w:tab w:val="left" w:pos="1440"/>
        </w:tabs>
        <w:spacing w:line="240" w:lineRule="atLeast"/>
        <w:rPr>
          <w:rFonts w:ascii="Arial" w:hAnsi="Arial" w:cs="Arial"/>
        </w:rPr>
      </w:pPr>
      <w:bookmarkStart w:id="47" w:name="_DV_M46"/>
      <w:bookmarkEnd w:id="47"/>
      <w:r>
        <w:rPr>
          <w:rFonts w:ascii="Arial" w:hAnsi="Arial" w:cs="Arial"/>
          <w:b/>
          <w:bCs/>
        </w:rPr>
        <w:tab/>
        <w:t>8.1</w:t>
      </w:r>
      <w:r>
        <w:rPr>
          <w:rFonts w:ascii="Arial" w:hAnsi="Arial" w:cs="Arial"/>
          <w:b/>
          <w:bCs/>
        </w:rPr>
        <w:tab/>
        <w:t xml:space="preserve">U.S. Treasury Bonds, Notes &amp; </w:t>
      </w:r>
      <w:r w:rsidR="00961BB9">
        <w:rPr>
          <w:rFonts w:ascii="Arial" w:hAnsi="Arial" w:cs="Arial"/>
          <w:b/>
          <w:bCs/>
        </w:rPr>
        <w:t>Bills -</w:t>
      </w:r>
      <w:r>
        <w:rPr>
          <w:rFonts w:ascii="Arial" w:hAnsi="Arial" w:cs="Arial"/>
        </w:rPr>
        <w:t xml:space="preserve"> </w:t>
      </w:r>
      <w:r>
        <w:rPr>
          <w:rFonts w:ascii="Arial" w:hAnsi="Arial" w:cs="Arial"/>
          <w:b/>
          <w:bCs/>
        </w:rPr>
        <w:t>"</w:t>
      </w:r>
      <w:r w:rsidR="00961BB9">
        <w:rPr>
          <w:rFonts w:ascii="Arial" w:hAnsi="Arial" w:cs="Arial"/>
          <w:b/>
          <w:bCs/>
        </w:rPr>
        <w:t>Strips -</w:t>
      </w:r>
      <w:r w:rsidR="00961BB9">
        <w:rPr>
          <w:rFonts w:ascii="Arial" w:hAnsi="Arial" w:cs="Arial"/>
          <w:color w:val="000000"/>
        </w:rPr>
        <w:t xml:space="preserve"> The</w:t>
      </w:r>
      <w:r>
        <w:rPr>
          <w:rFonts w:ascii="Arial" w:hAnsi="Arial" w:cs="Arial"/>
          <w:color w:val="000000"/>
        </w:rPr>
        <w:t xml:space="preserve"> principal and interest portions of U.S. Treasury securities are issued by the Federal Government. </w:t>
      </w:r>
      <w:r w:rsidR="000B1090">
        <w:rPr>
          <w:rFonts w:ascii="Arial" w:hAnsi="Arial" w:cs="Arial"/>
          <w:color w:val="000000"/>
        </w:rPr>
        <w:t>B</w:t>
      </w:r>
      <w:r>
        <w:rPr>
          <w:rFonts w:ascii="Arial" w:hAnsi="Arial" w:cs="Arial"/>
          <w:color w:val="000000"/>
        </w:rPr>
        <w:t>roker/dealers ma</w:t>
      </w:r>
      <w:r w:rsidR="000B1090">
        <w:rPr>
          <w:rFonts w:ascii="Arial" w:hAnsi="Arial" w:cs="Arial"/>
          <w:color w:val="000000"/>
        </w:rPr>
        <w:t xml:space="preserve">y </w:t>
      </w:r>
      <w:r>
        <w:rPr>
          <w:rFonts w:ascii="Arial" w:hAnsi="Arial" w:cs="Arial"/>
          <w:color w:val="000000"/>
        </w:rPr>
        <w:t xml:space="preserve">market </w:t>
      </w:r>
      <w:r w:rsidR="000B1090">
        <w:rPr>
          <w:rFonts w:ascii="Arial" w:hAnsi="Arial" w:cs="Arial"/>
          <w:color w:val="000000"/>
        </w:rPr>
        <w:t>t</w:t>
      </w:r>
      <w:r>
        <w:rPr>
          <w:rFonts w:ascii="Arial" w:hAnsi="Arial" w:cs="Arial"/>
          <w:color w:val="000000"/>
        </w:rPr>
        <w:t>he principal portion of the</w:t>
      </w:r>
      <w:r w:rsidR="000B1090">
        <w:rPr>
          <w:rFonts w:ascii="Arial" w:hAnsi="Arial" w:cs="Arial"/>
          <w:color w:val="000000"/>
        </w:rPr>
        <w:t>se</w:t>
      </w:r>
      <w:r>
        <w:rPr>
          <w:rFonts w:ascii="Arial" w:hAnsi="Arial" w:cs="Arial"/>
          <w:color w:val="000000"/>
        </w:rPr>
        <w:t xml:space="preserve"> "stripped" securities </w:t>
      </w:r>
      <w:r w:rsidR="000B1090">
        <w:rPr>
          <w:rFonts w:ascii="Arial" w:hAnsi="Arial" w:cs="Arial"/>
          <w:color w:val="000000"/>
        </w:rPr>
        <w:t xml:space="preserve">or “Strips” </w:t>
      </w:r>
      <w:r>
        <w:rPr>
          <w:rFonts w:ascii="Arial" w:hAnsi="Arial" w:cs="Arial"/>
          <w:color w:val="000000"/>
        </w:rPr>
        <w:t xml:space="preserve">at deep </w:t>
      </w:r>
      <w:r w:rsidRPr="00AB1F4D">
        <w:rPr>
          <w:rFonts w:ascii="Arial" w:hAnsi="Arial" w:cs="Arial"/>
        </w:rPr>
        <w:t>discounts</w:t>
      </w:r>
      <w:bookmarkStart w:id="48" w:name="_DV_M48"/>
      <w:bookmarkStart w:id="49" w:name="_DV_C3"/>
      <w:bookmarkEnd w:id="48"/>
      <w:r w:rsidR="00F82EE9">
        <w:rPr>
          <w:rFonts w:ascii="Arial" w:hAnsi="Arial" w:cs="Arial"/>
        </w:rPr>
        <w:t xml:space="preserve">. </w:t>
      </w:r>
      <w:r w:rsidR="000B1090" w:rsidRPr="00AB1F4D">
        <w:rPr>
          <w:rStyle w:val="DeltaViewInsertion"/>
          <w:rFonts w:ascii="Arial" w:hAnsi="Arial" w:cs="Arial"/>
          <w:color w:val="auto"/>
          <w:u w:val="none"/>
        </w:rPr>
        <w:t xml:space="preserve"> </w:t>
      </w:r>
      <w:r w:rsidRPr="00AB1F4D">
        <w:rPr>
          <w:rStyle w:val="DeltaViewInsertion"/>
          <w:rFonts w:ascii="Arial" w:hAnsi="Arial" w:cs="Arial"/>
          <w:color w:val="auto"/>
          <w:u w:val="none"/>
        </w:rPr>
        <w:t xml:space="preserve">In accordance with Government Code Section 53601.6, Strips are not authorized for the </w:t>
      </w:r>
      <w:r w:rsidR="00176992">
        <w:rPr>
          <w:rFonts w:ascii="Arial" w:hAnsi="Arial" w:cs="Arial"/>
        </w:rPr>
        <w:t>City Of Beverly Hills</w:t>
      </w:r>
      <w:r w:rsidRPr="00AB1F4D">
        <w:rPr>
          <w:rStyle w:val="DeltaViewInsertion"/>
          <w:rFonts w:ascii="Arial" w:hAnsi="Arial" w:cs="Arial"/>
          <w:color w:val="auto"/>
          <w:u w:val="none"/>
        </w:rPr>
        <w:t xml:space="preserve">. </w:t>
      </w:r>
      <w:bookmarkStart w:id="50" w:name="_DV_C4"/>
      <w:bookmarkEnd w:id="49"/>
      <w:r w:rsidRPr="00AB1F4D">
        <w:rPr>
          <w:rStyle w:val="DeltaViewInsertion"/>
          <w:rFonts w:ascii="Arial" w:hAnsi="Arial" w:cs="Arial"/>
          <w:color w:val="auto"/>
          <w:u w:val="none"/>
        </w:rPr>
        <w:t>However, principal-only Strips (also known as “zero-coupon Treasury securities”</w:t>
      </w:r>
      <w:r w:rsidR="000B1090" w:rsidRPr="00AB1F4D">
        <w:rPr>
          <w:rStyle w:val="DeltaViewInsertion"/>
          <w:rFonts w:ascii="Arial" w:hAnsi="Arial" w:cs="Arial"/>
          <w:color w:val="auto"/>
          <w:u w:val="none"/>
        </w:rPr>
        <w:t xml:space="preserve"> or “Discount Notes”</w:t>
      </w:r>
      <w:r w:rsidRPr="00AB1F4D">
        <w:rPr>
          <w:rStyle w:val="DeltaViewInsertion"/>
          <w:rFonts w:ascii="Arial" w:hAnsi="Arial" w:cs="Arial"/>
          <w:color w:val="auto"/>
          <w:u w:val="none"/>
        </w:rPr>
        <w:t>) are authorized investments, if they meet the requirements of Government Code Section 53601.6(b), which specifies that a local agency shall not invest any of its surplus funds in any security that could result in zero interest accrual if held to maturity.</w:t>
      </w:r>
      <w:bookmarkStart w:id="51" w:name="_DV_M49"/>
      <w:bookmarkStart w:id="52" w:name="_DV_M50"/>
      <w:bookmarkEnd w:id="50"/>
      <w:bookmarkEnd w:id="51"/>
      <w:bookmarkEnd w:id="52"/>
    </w:p>
    <w:p w:rsidR="00BB3B1F" w:rsidRDefault="00BB3B1F" w:rsidP="00BB3B1F">
      <w:pPr>
        <w:spacing w:before="240" w:line="240" w:lineRule="atLeast"/>
        <w:ind w:firstLine="1440"/>
        <w:rPr>
          <w:rFonts w:ascii="Arial" w:hAnsi="Arial" w:cs="Arial"/>
          <w:b/>
          <w:bCs/>
          <w:color w:val="000000"/>
        </w:rPr>
      </w:pPr>
      <w:bookmarkStart w:id="53" w:name="_DV_M51"/>
      <w:bookmarkEnd w:id="53"/>
      <w:r>
        <w:rPr>
          <w:rFonts w:ascii="Arial" w:hAnsi="Arial" w:cs="Arial"/>
          <w:b/>
          <w:bCs/>
          <w:color w:val="000000"/>
        </w:rPr>
        <w:t>8.2</w:t>
      </w:r>
      <w:r>
        <w:rPr>
          <w:rFonts w:ascii="Arial" w:hAnsi="Arial" w:cs="Arial"/>
          <w:b/>
          <w:bCs/>
          <w:color w:val="000000"/>
        </w:rPr>
        <w:tab/>
        <w:t>U.S. Government Agencies</w:t>
      </w:r>
      <w:r>
        <w:rPr>
          <w:rFonts w:ascii="Arial" w:hAnsi="Arial" w:cs="Arial"/>
          <w:color w:val="000000"/>
        </w:rPr>
        <w:t xml:space="preserve"> - There are numerous government agencies listed which issue debt instruments but many lack the liquidity necessary to fit the portfolio requirements of the </w:t>
      </w:r>
      <w:r w:rsidR="00176992">
        <w:rPr>
          <w:rFonts w:ascii="Arial" w:hAnsi="Arial" w:cs="Arial"/>
        </w:rPr>
        <w:t>City Of Beverly Hills</w:t>
      </w:r>
      <w:r>
        <w:rPr>
          <w:rFonts w:ascii="Arial" w:hAnsi="Arial" w:cs="Arial"/>
          <w:color w:val="000000"/>
        </w:rPr>
        <w:t>. Purchases of government agency securities should be limited to the issues of the Federal Farm Credit Bank, the Federal National Mortgage Association, the Federal Home Loan Mortgage Corporation, the Federal Home Loan Bank, and the Student Loan Mortgage Corporation.</w:t>
      </w:r>
    </w:p>
    <w:p w:rsidR="00BB3B1F" w:rsidRDefault="00BB3B1F" w:rsidP="00BB3B1F">
      <w:pPr>
        <w:spacing w:before="240" w:line="240" w:lineRule="atLeast"/>
        <w:ind w:firstLine="1440"/>
        <w:rPr>
          <w:rFonts w:ascii="Arial" w:hAnsi="Arial" w:cs="Arial"/>
          <w:color w:val="000000"/>
        </w:rPr>
      </w:pPr>
      <w:bookmarkStart w:id="54" w:name="_DV_M52"/>
      <w:bookmarkEnd w:id="54"/>
      <w:r>
        <w:rPr>
          <w:rFonts w:ascii="Arial" w:hAnsi="Arial" w:cs="Arial"/>
          <w:b/>
          <w:bCs/>
          <w:color w:val="000000"/>
        </w:rPr>
        <w:t>8.3</w:t>
      </w:r>
      <w:r>
        <w:rPr>
          <w:rFonts w:ascii="Arial" w:hAnsi="Arial" w:cs="Arial"/>
          <w:b/>
          <w:bCs/>
          <w:color w:val="000000"/>
        </w:rPr>
        <w:tab/>
        <w:t>Repurchase Agreements</w:t>
      </w:r>
      <w:r>
        <w:rPr>
          <w:rFonts w:ascii="Arial" w:hAnsi="Arial" w:cs="Arial"/>
          <w:color w:val="000000"/>
        </w:rPr>
        <w:t xml:space="preserve"> - A repurchase agreement is a contractual agreement between a financial institution or dealer and the </w:t>
      </w:r>
      <w:r w:rsidR="00176992">
        <w:rPr>
          <w:rFonts w:ascii="Arial" w:hAnsi="Arial" w:cs="Arial"/>
        </w:rPr>
        <w:t>City Of Beverly Hills</w:t>
      </w:r>
      <w:r>
        <w:rPr>
          <w:rFonts w:ascii="Arial" w:hAnsi="Arial" w:cs="Arial"/>
          <w:color w:val="000000"/>
        </w:rPr>
        <w:t xml:space="preserve"> in which the </w:t>
      </w:r>
      <w:r w:rsidR="00176992">
        <w:rPr>
          <w:rFonts w:ascii="Arial" w:hAnsi="Arial" w:cs="Arial"/>
        </w:rPr>
        <w:t xml:space="preserve">City Of Beverly Hills </w:t>
      </w:r>
      <w:r>
        <w:rPr>
          <w:rFonts w:ascii="Arial" w:hAnsi="Arial" w:cs="Arial"/>
          <w:color w:val="000000"/>
        </w:rPr>
        <w:t xml:space="preserve">lends its funds to the financial institution or dealer for a certain number of days at a stated rate of interest.  In return, the </w:t>
      </w:r>
      <w:r w:rsidR="00176992">
        <w:rPr>
          <w:rFonts w:ascii="Arial" w:hAnsi="Arial" w:cs="Arial"/>
        </w:rPr>
        <w:t xml:space="preserve">City Of Beverly Hills </w:t>
      </w:r>
      <w:r>
        <w:rPr>
          <w:rFonts w:ascii="Arial" w:hAnsi="Arial" w:cs="Arial"/>
          <w:color w:val="000000"/>
        </w:rPr>
        <w:t>takes title to securities as collateral until funds and interest are repaid.</w:t>
      </w:r>
    </w:p>
    <w:p w:rsidR="00BB3B1F" w:rsidRDefault="00BB3B1F" w:rsidP="00BB3B1F">
      <w:pPr>
        <w:spacing w:before="240" w:line="240" w:lineRule="atLeast"/>
        <w:rPr>
          <w:rFonts w:ascii="Arial" w:hAnsi="Arial" w:cs="Arial"/>
          <w:color w:val="000000"/>
        </w:rPr>
      </w:pPr>
      <w:bookmarkStart w:id="55" w:name="_DV_M53"/>
      <w:bookmarkEnd w:id="55"/>
      <w:r>
        <w:rPr>
          <w:rFonts w:ascii="Arial" w:hAnsi="Arial" w:cs="Arial"/>
          <w:color w:val="000000"/>
        </w:rPr>
        <w:t xml:space="preserve">Repurchase agreements may only be made with primary dealers of the Federal Reserve Bank of New York.  The </w:t>
      </w:r>
      <w:r w:rsidR="00176992">
        <w:rPr>
          <w:rFonts w:ascii="Arial" w:hAnsi="Arial" w:cs="Arial"/>
        </w:rPr>
        <w:t xml:space="preserve">City Of Beverly Hills </w:t>
      </w:r>
      <w:r>
        <w:rPr>
          <w:rFonts w:ascii="Arial" w:hAnsi="Arial" w:cs="Arial"/>
          <w:color w:val="000000"/>
        </w:rPr>
        <w:t xml:space="preserve">will not enter into repurchase agreements for a period greater than 7 days.  The market value of the collateral will not be less than the </w:t>
      </w:r>
      <w:proofErr w:type="gramStart"/>
      <w:r>
        <w:rPr>
          <w:rFonts w:ascii="Arial" w:hAnsi="Arial" w:cs="Arial"/>
          <w:color w:val="000000"/>
        </w:rPr>
        <w:t>greate</w:t>
      </w:r>
      <w:r w:rsidR="00520458">
        <w:rPr>
          <w:rFonts w:ascii="Arial" w:hAnsi="Arial" w:cs="Arial"/>
          <w:color w:val="000000"/>
        </w:rPr>
        <w:t>r</w:t>
      </w:r>
      <w:proofErr w:type="gramEnd"/>
      <w:r>
        <w:rPr>
          <w:rFonts w:ascii="Arial" w:hAnsi="Arial" w:cs="Arial"/>
          <w:color w:val="000000"/>
        </w:rPr>
        <w:t xml:space="preserve"> of 102% of the funds borrowed against those securities or the sum of the funds borrowed against the securities plus accrued interest.  And the security will be treasuries and agencies of the United States Government only.</w:t>
      </w:r>
    </w:p>
    <w:p w:rsidR="00BB3B1F" w:rsidRDefault="00BB3B1F" w:rsidP="00BB3B1F">
      <w:pPr>
        <w:spacing w:before="240" w:line="240" w:lineRule="atLeast"/>
        <w:ind w:firstLine="1440"/>
        <w:rPr>
          <w:rFonts w:ascii="Arial" w:hAnsi="Arial" w:cs="Arial"/>
          <w:color w:val="000000"/>
        </w:rPr>
      </w:pPr>
      <w:bookmarkStart w:id="56" w:name="_DV_M54"/>
      <w:bookmarkEnd w:id="56"/>
      <w:r>
        <w:rPr>
          <w:rFonts w:ascii="Arial" w:hAnsi="Arial" w:cs="Arial"/>
          <w:b/>
          <w:bCs/>
          <w:color w:val="000000"/>
        </w:rPr>
        <w:t>8.4</w:t>
      </w:r>
      <w:r>
        <w:rPr>
          <w:rFonts w:ascii="Arial" w:hAnsi="Arial" w:cs="Arial"/>
          <w:b/>
          <w:bCs/>
          <w:color w:val="000000"/>
        </w:rPr>
        <w:tab/>
        <w:t>Medium term corporate notes</w:t>
      </w:r>
      <w:r>
        <w:rPr>
          <w:rFonts w:ascii="Arial" w:hAnsi="Arial" w:cs="Arial"/>
          <w:color w:val="000000"/>
        </w:rPr>
        <w:t xml:space="preserve"> (A or above) - may be bought only through major banks or primary dealers which offer competitive secondary markets for the repurchase of the notes before maturity, such as Bank of America, ,</w:t>
      </w:r>
      <w:r w:rsidR="00DE3DE4">
        <w:rPr>
          <w:rFonts w:ascii="Arial" w:hAnsi="Arial" w:cs="Arial"/>
          <w:color w:val="000000"/>
        </w:rPr>
        <w:t xml:space="preserve"> Merrill Lynch,</w:t>
      </w:r>
      <w:r>
        <w:rPr>
          <w:rFonts w:ascii="Arial" w:hAnsi="Arial" w:cs="Arial"/>
          <w:color w:val="000000"/>
        </w:rPr>
        <w:t xml:space="preserve"> J. P. Morgan</w:t>
      </w:r>
      <w:r w:rsidR="00DE3DE4">
        <w:rPr>
          <w:rFonts w:ascii="Arial" w:hAnsi="Arial" w:cs="Arial"/>
          <w:color w:val="000000"/>
        </w:rPr>
        <w:t xml:space="preserve"> and others</w:t>
      </w:r>
      <w:r>
        <w:rPr>
          <w:rFonts w:ascii="Arial" w:hAnsi="Arial" w:cs="Arial"/>
          <w:color w:val="000000"/>
        </w:rPr>
        <w:t>.</w:t>
      </w:r>
    </w:p>
    <w:p w:rsidR="00BB3B1F" w:rsidRDefault="00BB3B1F" w:rsidP="00BB3B1F">
      <w:pPr>
        <w:spacing w:before="240" w:line="240" w:lineRule="atLeast"/>
        <w:ind w:firstLine="1440"/>
        <w:rPr>
          <w:rFonts w:ascii="Arial" w:hAnsi="Arial" w:cs="Arial"/>
          <w:color w:val="000000"/>
        </w:rPr>
      </w:pPr>
      <w:bookmarkStart w:id="57" w:name="_DV_M55"/>
      <w:bookmarkEnd w:id="57"/>
      <w:r>
        <w:rPr>
          <w:rFonts w:ascii="Arial" w:hAnsi="Arial" w:cs="Arial"/>
          <w:b/>
          <w:bCs/>
          <w:color w:val="000000"/>
        </w:rPr>
        <w:t>8.5</w:t>
      </w:r>
      <w:r>
        <w:rPr>
          <w:rFonts w:ascii="Arial" w:hAnsi="Arial" w:cs="Arial"/>
          <w:b/>
          <w:bCs/>
          <w:color w:val="000000"/>
        </w:rPr>
        <w:tab/>
        <w:t>Commercial paper</w:t>
      </w:r>
      <w:r>
        <w:rPr>
          <w:rFonts w:ascii="Arial" w:hAnsi="Arial" w:cs="Arial"/>
          <w:color w:val="000000"/>
        </w:rPr>
        <w:t xml:space="preserve"> - (which must have a rating of A1-P1) </w:t>
      </w:r>
      <w:r>
        <w:rPr>
          <w:rFonts w:ascii="Arial" w:hAnsi="Arial" w:cs="Arial"/>
          <w:b/>
          <w:bCs/>
          <w:color w:val="000000"/>
        </w:rPr>
        <w:t>and corporate bonds</w:t>
      </w:r>
      <w:r>
        <w:rPr>
          <w:rFonts w:ascii="Arial" w:hAnsi="Arial" w:cs="Arial"/>
          <w:color w:val="000000"/>
        </w:rPr>
        <w:t xml:space="preserve"> (</w:t>
      </w:r>
      <w:proofErr w:type="gramStart"/>
      <w:r>
        <w:rPr>
          <w:rFonts w:ascii="Arial" w:hAnsi="Arial" w:cs="Arial"/>
          <w:color w:val="000000"/>
        </w:rPr>
        <w:t>A or</w:t>
      </w:r>
      <w:proofErr w:type="gramEnd"/>
      <w:r>
        <w:rPr>
          <w:rFonts w:ascii="Arial" w:hAnsi="Arial" w:cs="Arial"/>
          <w:color w:val="000000"/>
        </w:rPr>
        <w:t xml:space="preserve"> above) - may be bought through major banks or primary dealers which </w:t>
      </w:r>
      <w:r w:rsidR="006A5B74">
        <w:rPr>
          <w:rFonts w:ascii="Arial" w:hAnsi="Arial" w:cs="Arial"/>
          <w:color w:val="000000"/>
        </w:rPr>
        <w:t xml:space="preserve">can </w:t>
      </w:r>
      <w:r>
        <w:rPr>
          <w:rFonts w:ascii="Arial" w:hAnsi="Arial" w:cs="Arial"/>
          <w:color w:val="000000"/>
        </w:rPr>
        <w:t xml:space="preserve">offer </w:t>
      </w:r>
      <w:r w:rsidR="006A5B74">
        <w:rPr>
          <w:rFonts w:ascii="Arial" w:hAnsi="Arial" w:cs="Arial"/>
          <w:color w:val="000000"/>
        </w:rPr>
        <w:t xml:space="preserve">or arrange </w:t>
      </w:r>
      <w:r>
        <w:rPr>
          <w:rFonts w:ascii="Arial" w:hAnsi="Arial" w:cs="Arial"/>
          <w:color w:val="000000"/>
        </w:rPr>
        <w:t>competitive secondary markets for the repurchase of the paper before maturity.    The longest maturity approved for commercial paper is 270 days.  The longest maturity approved for corporate bonds is 5 years.</w:t>
      </w:r>
    </w:p>
    <w:p w:rsidR="00BB3B1F" w:rsidRDefault="00BB3B1F" w:rsidP="00BB3B1F">
      <w:pPr>
        <w:tabs>
          <w:tab w:val="left" w:pos="-1138"/>
          <w:tab w:val="left" w:pos="-418"/>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s>
        <w:spacing w:before="240" w:line="240" w:lineRule="atLeast"/>
        <w:ind w:firstLine="1440"/>
        <w:rPr>
          <w:rFonts w:ascii="Arial" w:hAnsi="Arial" w:cs="Arial"/>
          <w:color w:val="000000"/>
        </w:rPr>
      </w:pPr>
      <w:bookmarkStart w:id="58" w:name="_DV_M56"/>
      <w:bookmarkEnd w:id="58"/>
      <w:r>
        <w:rPr>
          <w:rFonts w:ascii="Arial" w:hAnsi="Arial" w:cs="Arial"/>
          <w:b/>
          <w:bCs/>
          <w:color w:val="000000"/>
        </w:rPr>
        <w:t>8.6</w:t>
      </w:r>
      <w:r>
        <w:rPr>
          <w:rFonts w:ascii="Arial" w:hAnsi="Arial" w:cs="Arial"/>
          <w:b/>
          <w:bCs/>
          <w:color w:val="000000"/>
        </w:rPr>
        <w:tab/>
        <w:t xml:space="preserve">Prohibited Investments - </w:t>
      </w:r>
      <w:r>
        <w:rPr>
          <w:rFonts w:ascii="Arial" w:hAnsi="Arial" w:cs="Arial"/>
          <w:color w:val="000000"/>
        </w:rPr>
        <w:t xml:space="preserve">The list of eligible securities contained in the California Government Code is extensive and includes a number of categories which are not suitable investments for funds of the </w:t>
      </w:r>
      <w:r w:rsidR="00475528">
        <w:rPr>
          <w:rFonts w:ascii="Arial" w:hAnsi="Arial" w:cs="Arial"/>
          <w:color w:val="000000"/>
        </w:rPr>
        <w:t>City</w:t>
      </w:r>
      <w:r>
        <w:rPr>
          <w:rFonts w:ascii="Arial" w:hAnsi="Arial" w:cs="Arial"/>
          <w:color w:val="000000"/>
        </w:rPr>
        <w:t>. The categories in the list which have such limitations are:</w:t>
      </w:r>
    </w:p>
    <w:p w:rsidR="00BB3B1F" w:rsidRDefault="00BB3B1F" w:rsidP="00BB3B1F">
      <w:pPr>
        <w:spacing w:before="240" w:line="240" w:lineRule="atLeast"/>
        <w:ind w:left="720"/>
        <w:rPr>
          <w:rFonts w:ascii="Arial" w:hAnsi="Arial" w:cs="Arial"/>
          <w:color w:val="000000"/>
        </w:rPr>
      </w:pPr>
      <w:bookmarkStart w:id="59" w:name="_DV_M57"/>
      <w:bookmarkEnd w:id="59"/>
      <w:r>
        <w:rPr>
          <w:rFonts w:ascii="Arial" w:hAnsi="Arial" w:cs="Arial"/>
          <w:color w:val="000000"/>
        </w:rPr>
        <w:t>Notes, bonds or other obligations issued by the Commonwealth of Puerto Rico.</w:t>
      </w:r>
    </w:p>
    <w:p w:rsidR="00BB3B1F" w:rsidRDefault="00BB3B1F" w:rsidP="00BB3B1F">
      <w:pPr>
        <w:spacing w:before="240" w:line="240" w:lineRule="atLeast"/>
        <w:ind w:left="720"/>
        <w:rPr>
          <w:rFonts w:ascii="Arial" w:hAnsi="Arial" w:cs="Arial"/>
          <w:color w:val="000000"/>
        </w:rPr>
      </w:pPr>
      <w:bookmarkStart w:id="60" w:name="_DV_M58"/>
      <w:bookmarkEnd w:id="60"/>
      <w:r>
        <w:rPr>
          <w:rFonts w:ascii="Arial" w:hAnsi="Arial" w:cs="Arial"/>
          <w:color w:val="000000"/>
        </w:rPr>
        <w:t xml:space="preserve">The </w:t>
      </w:r>
      <w:r w:rsidR="00176992">
        <w:rPr>
          <w:rFonts w:ascii="Arial" w:hAnsi="Arial" w:cs="Arial"/>
        </w:rPr>
        <w:t>City Of Beverly Hills</w:t>
      </w:r>
      <w:r>
        <w:rPr>
          <w:rFonts w:ascii="Arial" w:hAnsi="Arial" w:cs="Arial"/>
          <w:color w:val="000000"/>
        </w:rPr>
        <w:t xml:space="preserve"> shall not invest any funds pursuant to Section 53600, </w:t>
      </w:r>
      <w:proofErr w:type="gramStart"/>
      <w:r>
        <w:rPr>
          <w:rFonts w:ascii="Arial" w:hAnsi="Arial" w:cs="Arial"/>
          <w:color w:val="000000"/>
        </w:rPr>
        <w:t>et</w:t>
      </w:r>
      <w:proofErr w:type="gramEnd"/>
      <w:r>
        <w:rPr>
          <w:rFonts w:ascii="Arial" w:hAnsi="Arial" w:cs="Arial"/>
          <w:color w:val="000000"/>
        </w:rPr>
        <w:t>. seq., in inverse floaters, range notes, interest-only strips that are derived from a pool of mortgages</w:t>
      </w:r>
      <w:r w:rsidR="0022652A">
        <w:rPr>
          <w:rFonts w:ascii="Arial" w:hAnsi="Arial" w:cs="Arial"/>
          <w:color w:val="000000"/>
        </w:rPr>
        <w:t xml:space="preserve"> or </w:t>
      </w:r>
      <w:bookmarkStart w:id="61" w:name="_DV_M59"/>
      <w:bookmarkEnd w:id="61"/>
      <w:r>
        <w:rPr>
          <w:rFonts w:ascii="Arial" w:hAnsi="Arial" w:cs="Arial"/>
          <w:color w:val="000000"/>
        </w:rPr>
        <w:t>any security that could result in zero interest accrual if held to maturity.</w:t>
      </w:r>
    </w:p>
    <w:p w:rsidR="00BB3B1F" w:rsidRDefault="00BB3B1F" w:rsidP="00BB3B1F">
      <w:pPr>
        <w:numPr>
          <w:ilvl w:val="1"/>
          <w:numId w:val="1"/>
        </w:numPr>
        <w:tabs>
          <w:tab w:val="left" w:pos="-720"/>
        </w:tabs>
        <w:spacing w:before="240" w:line="240" w:lineRule="atLeast"/>
        <w:ind w:left="0" w:firstLine="1440"/>
        <w:rPr>
          <w:rFonts w:ascii="Arial" w:hAnsi="Arial" w:cs="Arial"/>
          <w:color w:val="000000"/>
        </w:rPr>
      </w:pPr>
      <w:bookmarkStart w:id="62" w:name="_DV_M60"/>
      <w:bookmarkEnd w:id="62"/>
      <w:r>
        <w:rPr>
          <w:rFonts w:ascii="Arial" w:hAnsi="Arial" w:cs="Arial"/>
          <w:b/>
          <w:bCs/>
          <w:color w:val="000000"/>
        </w:rPr>
        <w:t xml:space="preserve">Exemptions - </w:t>
      </w:r>
      <w:r>
        <w:rPr>
          <w:rFonts w:ascii="Arial" w:hAnsi="Arial" w:cs="Arial"/>
          <w:color w:val="000000"/>
        </w:rPr>
        <w:t>Any investment currently held that does not meet the guidelines of this policy shall be exempted from the requirements of this policy.  At maturity or liquidation, such monies shall be reinvested only as provided by this policy.</w:t>
      </w:r>
    </w:p>
    <w:p w:rsidR="00BB3B1F" w:rsidRDefault="00BB3B1F" w:rsidP="00BB3B1F">
      <w:pPr>
        <w:spacing w:before="240" w:line="240" w:lineRule="atLeast"/>
        <w:outlineLvl w:val="0"/>
        <w:rPr>
          <w:rFonts w:ascii="Arial" w:hAnsi="Arial" w:cs="Arial"/>
          <w:b/>
          <w:bCs/>
          <w:color w:val="000000"/>
        </w:rPr>
      </w:pPr>
      <w:bookmarkStart w:id="63" w:name="_DV_M61"/>
      <w:bookmarkEnd w:id="63"/>
      <w:r>
        <w:rPr>
          <w:rFonts w:ascii="Arial" w:hAnsi="Arial" w:cs="Arial"/>
          <w:b/>
          <w:bCs/>
          <w:color w:val="000000"/>
        </w:rPr>
        <w:t>9.0</w:t>
      </w:r>
      <w:r>
        <w:rPr>
          <w:rFonts w:ascii="Arial" w:hAnsi="Arial" w:cs="Arial"/>
          <w:b/>
          <w:bCs/>
          <w:color w:val="000000"/>
        </w:rPr>
        <w:tab/>
        <w:t>Collateralization:</w:t>
      </w:r>
    </w:p>
    <w:p w:rsidR="00BB3B1F" w:rsidRDefault="00BB3B1F" w:rsidP="00BB3B1F">
      <w:pPr>
        <w:spacing w:before="240" w:line="240" w:lineRule="atLeast"/>
        <w:rPr>
          <w:rFonts w:ascii="Arial" w:hAnsi="Arial" w:cs="Arial"/>
          <w:color w:val="000000"/>
        </w:rPr>
      </w:pPr>
      <w:bookmarkStart w:id="64" w:name="_DV_M62"/>
      <w:bookmarkEnd w:id="64"/>
      <w:r>
        <w:rPr>
          <w:rFonts w:ascii="Arial" w:hAnsi="Arial" w:cs="Arial"/>
          <w:color w:val="000000"/>
        </w:rPr>
        <w:t xml:space="preserve">All investments of the </w:t>
      </w:r>
      <w:r w:rsidR="00176992">
        <w:rPr>
          <w:rFonts w:ascii="Arial" w:hAnsi="Arial" w:cs="Arial"/>
        </w:rPr>
        <w:t>City Of Beverly Hills</w:t>
      </w:r>
      <w:r>
        <w:rPr>
          <w:rFonts w:ascii="Arial" w:hAnsi="Arial" w:cs="Arial"/>
          <w:color w:val="000000"/>
        </w:rPr>
        <w:t xml:space="preserve"> shall be collateralized to the extent required by the State Government Code</w:t>
      </w:r>
      <w:r w:rsidR="00D0417C">
        <w:rPr>
          <w:rFonts w:ascii="Arial" w:hAnsi="Arial" w:cs="Arial"/>
          <w:color w:val="000000"/>
        </w:rPr>
        <w:t>s</w:t>
      </w:r>
      <w:r>
        <w:rPr>
          <w:rFonts w:ascii="Arial" w:hAnsi="Arial" w:cs="Arial"/>
          <w:color w:val="000000"/>
        </w:rPr>
        <w:t>.  (</w:t>
      </w:r>
      <w:r w:rsidR="00D0417C">
        <w:rPr>
          <w:rFonts w:ascii="Arial" w:hAnsi="Arial" w:cs="Arial"/>
          <w:color w:val="000000"/>
        </w:rPr>
        <w:t>e</w:t>
      </w:r>
      <w:r>
        <w:rPr>
          <w:rFonts w:ascii="Arial" w:hAnsi="Arial" w:cs="Arial"/>
          <w:color w:val="000000"/>
        </w:rPr>
        <w:t>.g., repurchase agreements and collateralized time deposits.)</w:t>
      </w:r>
    </w:p>
    <w:p w:rsidR="00BB3B1F" w:rsidRDefault="00BB3B1F" w:rsidP="00BB3B1F">
      <w:pPr>
        <w:spacing w:before="240" w:line="240" w:lineRule="atLeast"/>
        <w:rPr>
          <w:rFonts w:ascii="Arial" w:hAnsi="Arial" w:cs="Arial"/>
          <w:color w:val="000000"/>
        </w:rPr>
      </w:pPr>
      <w:bookmarkStart w:id="65" w:name="_DV_M63"/>
      <w:bookmarkEnd w:id="65"/>
      <w:r>
        <w:rPr>
          <w:rFonts w:ascii="Arial" w:hAnsi="Arial" w:cs="Arial"/>
          <w:color w:val="000000"/>
        </w:rPr>
        <w:t xml:space="preserve">The collateral for time deposits in local savings associations is held at the Federal Home Loan Bank.  The collateral for time deposits in local banks is held in the City's name in the trust department of one of the banks with which the City has a current safekeeping agreement (so long as the issuer of the time deposit is not the same bank as the bank holding the collateral) or with the Federal Reserve Bank. </w:t>
      </w:r>
    </w:p>
    <w:p w:rsidR="00BB3B1F" w:rsidRDefault="00BB3B1F" w:rsidP="00BB3B1F">
      <w:pPr>
        <w:spacing w:before="240" w:line="240" w:lineRule="atLeast"/>
        <w:rPr>
          <w:rFonts w:ascii="Arial" w:hAnsi="Arial" w:cs="Arial"/>
          <w:color w:val="000000"/>
        </w:rPr>
      </w:pPr>
      <w:bookmarkStart w:id="66" w:name="_DV_M64"/>
      <w:bookmarkEnd w:id="66"/>
      <w:r>
        <w:rPr>
          <w:rFonts w:ascii="Arial" w:hAnsi="Arial" w:cs="Arial"/>
          <w:color w:val="000000"/>
        </w:rPr>
        <w:t xml:space="preserve">Acceptable collateral instruments are U.S. Treasury or Federal Agency issues equal in market value to at least 110% of the deposit of the </w:t>
      </w:r>
      <w:r w:rsidR="00A74C88">
        <w:rPr>
          <w:rFonts w:ascii="Arial" w:hAnsi="Arial" w:cs="Arial"/>
        </w:rPr>
        <w:t>City Of Beverly Hills</w:t>
      </w:r>
      <w:r>
        <w:rPr>
          <w:rFonts w:ascii="Arial" w:hAnsi="Arial" w:cs="Arial"/>
          <w:color w:val="000000"/>
        </w:rPr>
        <w:t xml:space="preserve">. Alternatively, prime seasoned first trust deeds meeting the requirements of Government Code Section 53651.2 and equal in value to at least 150% of the deposit of the </w:t>
      </w:r>
      <w:r w:rsidR="00A74C88">
        <w:rPr>
          <w:rFonts w:ascii="Arial" w:hAnsi="Arial" w:cs="Arial"/>
        </w:rPr>
        <w:t>City Of Beverly Hills</w:t>
      </w:r>
      <w:r>
        <w:rPr>
          <w:rFonts w:ascii="Arial" w:hAnsi="Arial" w:cs="Arial"/>
          <w:color w:val="000000"/>
        </w:rPr>
        <w:t xml:space="preserve"> may also be placed by savings associations with the Federal Home Loan Bank, San Francisco to cover collateral requirements for such agency.</w:t>
      </w:r>
    </w:p>
    <w:p w:rsidR="00BB3B1F" w:rsidRDefault="00BB3B1F" w:rsidP="00BB3B1F">
      <w:pPr>
        <w:spacing w:before="240" w:line="240" w:lineRule="atLeast"/>
        <w:rPr>
          <w:rFonts w:ascii="Arial" w:hAnsi="Arial" w:cs="Arial"/>
          <w:color w:val="000000"/>
        </w:rPr>
      </w:pPr>
      <w:bookmarkStart w:id="67" w:name="_DV_M65"/>
      <w:bookmarkEnd w:id="67"/>
      <w:r>
        <w:rPr>
          <w:rFonts w:ascii="Arial" w:hAnsi="Arial" w:cs="Arial"/>
          <w:color w:val="000000"/>
        </w:rPr>
        <w:t>Securities which serve as collateral for repurchase agreements with banks may be held in the issuing bank's trust department, provided that a master repurchase agreement has been executed insuring the fiduciary separation of these assets from other bank assets.</w:t>
      </w:r>
    </w:p>
    <w:p w:rsidR="00BB3B1F" w:rsidRDefault="00BB3B1F" w:rsidP="00BB3B1F">
      <w:pPr>
        <w:spacing w:before="240" w:line="240" w:lineRule="atLeast"/>
        <w:rPr>
          <w:rFonts w:ascii="Arial" w:hAnsi="Arial" w:cs="Arial"/>
          <w:b/>
          <w:bCs/>
          <w:color w:val="000000"/>
        </w:rPr>
      </w:pPr>
      <w:bookmarkStart w:id="68" w:name="_DV_M66"/>
      <w:bookmarkEnd w:id="68"/>
      <w:r>
        <w:rPr>
          <w:rFonts w:ascii="Arial" w:hAnsi="Arial" w:cs="Arial"/>
          <w:b/>
          <w:bCs/>
          <w:color w:val="000000"/>
        </w:rPr>
        <w:t>10.0</w:t>
      </w:r>
      <w:r>
        <w:rPr>
          <w:rFonts w:ascii="Arial" w:hAnsi="Arial" w:cs="Arial"/>
          <w:b/>
          <w:bCs/>
          <w:color w:val="000000"/>
        </w:rPr>
        <w:tab/>
        <w:t>Safekeeping and Custody:</w:t>
      </w:r>
    </w:p>
    <w:p w:rsidR="00BB3B1F" w:rsidRDefault="00BB3B1F" w:rsidP="00BB3B1F">
      <w:pPr>
        <w:spacing w:before="240" w:line="240" w:lineRule="atLeast"/>
        <w:rPr>
          <w:rFonts w:ascii="Arial" w:hAnsi="Arial" w:cs="Arial"/>
          <w:color w:val="000000"/>
        </w:rPr>
      </w:pPr>
      <w:bookmarkStart w:id="69" w:name="_DV_M67"/>
      <w:bookmarkEnd w:id="69"/>
      <w:r>
        <w:rPr>
          <w:rFonts w:ascii="Arial" w:hAnsi="Arial" w:cs="Arial"/>
          <w:color w:val="000000"/>
        </w:rPr>
        <w:t xml:space="preserve">All security transactions, including collateral for repurchase agreements, entered into by the </w:t>
      </w:r>
      <w:r w:rsidR="00A74C88">
        <w:rPr>
          <w:rFonts w:ascii="Arial" w:hAnsi="Arial" w:cs="Arial"/>
        </w:rPr>
        <w:t>City Of Beverly Hills</w:t>
      </w:r>
      <w:r>
        <w:rPr>
          <w:rFonts w:ascii="Arial" w:hAnsi="Arial" w:cs="Arial"/>
          <w:color w:val="000000"/>
        </w:rPr>
        <w:t xml:space="preserve"> shall be conducted on a delivery-versus-payment (DVP) basis.  Securities will be held by a third party custodian and evidenced by safekeeping receipts.</w:t>
      </w:r>
    </w:p>
    <w:p w:rsidR="00BB3B1F" w:rsidRDefault="00BB3B1F" w:rsidP="00BB3B1F">
      <w:pPr>
        <w:spacing w:before="240" w:line="240" w:lineRule="atLeast"/>
        <w:rPr>
          <w:rFonts w:ascii="Arial" w:hAnsi="Arial" w:cs="Arial"/>
          <w:color w:val="000000"/>
        </w:rPr>
      </w:pPr>
      <w:bookmarkStart w:id="70" w:name="_DV_M68"/>
      <w:bookmarkEnd w:id="70"/>
      <w:r>
        <w:rPr>
          <w:rFonts w:ascii="Arial" w:hAnsi="Arial" w:cs="Arial"/>
          <w:color w:val="000000"/>
        </w:rPr>
        <w:t xml:space="preserve">The transferring of investment funds will be carried out exclusively by use of the Federal Reserve Bank's electronic wire transfer system.  Each Banker or Primary Dealer with which the </w:t>
      </w:r>
      <w:r w:rsidR="00A74C88">
        <w:rPr>
          <w:rFonts w:ascii="Arial" w:hAnsi="Arial" w:cs="Arial"/>
        </w:rPr>
        <w:t>City Of Beverly Hills</w:t>
      </w:r>
      <w:r>
        <w:rPr>
          <w:rFonts w:ascii="Arial" w:hAnsi="Arial" w:cs="Arial"/>
          <w:color w:val="000000"/>
        </w:rPr>
        <w:t xml:space="preserve"> does business shall receive in writing from the </w:t>
      </w:r>
      <w:r w:rsidR="0022652A">
        <w:rPr>
          <w:rFonts w:ascii="Arial" w:hAnsi="Arial" w:cs="Arial"/>
          <w:color w:val="000000"/>
        </w:rPr>
        <w:t xml:space="preserve">City </w:t>
      </w:r>
      <w:r>
        <w:rPr>
          <w:rFonts w:ascii="Arial" w:hAnsi="Arial" w:cs="Arial"/>
          <w:color w:val="000000"/>
        </w:rPr>
        <w:t>Treasurer and Chief Financial Officer or designee a listing which limits transfers of funds to pre-authorized bank accounts only.</w:t>
      </w:r>
    </w:p>
    <w:p w:rsidR="00BB3B1F" w:rsidRDefault="00BB3B1F" w:rsidP="00BB3B1F">
      <w:pPr>
        <w:spacing w:before="240" w:line="240" w:lineRule="atLeast"/>
        <w:rPr>
          <w:rFonts w:ascii="Arial" w:hAnsi="Arial" w:cs="Arial"/>
          <w:color w:val="000000"/>
        </w:rPr>
      </w:pPr>
      <w:bookmarkStart w:id="71" w:name="_DV_M69"/>
      <w:bookmarkEnd w:id="71"/>
      <w:r>
        <w:rPr>
          <w:rFonts w:ascii="Arial" w:hAnsi="Arial" w:cs="Arial"/>
          <w:color w:val="000000"/>
        </w:rPr>
        <w:t>The listing will also contain the names of the City staff authorized to request such transfers and will be updated in writing for changes of authorized staff and bank accounts as necessary.</w:t>
      </w:r>
    </w:p>
    <w:p w:rsidR="00BB3B1F" w:rsidRDefault="00BB3B1F" w:rsidP="00BB3B1F">
      <w:pPr>
        <w:spacing w:before="240" w:line="240" w:lineRule="atLeast"/>
        <w:rPr>
          <w:rFonts w:ascii="Arial" w:hAnsi="Arial" w:cs="Arial"/>
          <w:b/>
          <w:bCs/>
          <w:color w:val="000000"/>
        </w:rPr>
      </w:pPr>
      <w:bookmarkStart w:id="72" w:name="_DV_M70"/>
      <w:bookmarkEnd w:id="72"/>
      <w:r>
        <w:rPr>
          <w:rFonts w:ascii="Arial" w:hAnsi="Arial" w:cs="Arial"/>
          <w:color w:val="000000"/>
        </w:rPr>
        <w:t>Transfers from one account of the City to another shall require the request of only one authorized staff member.  Transfers from the City's account to third parties shall require the request of two authorized staff members.</w:t>
      </w:r>
    </w:p>
    <w:p w:rsidR="005E54F1" w:rsidRDefault="005E54F1" w:rsidP="00BB3B1F">
      <w:pPr>
        <w:spacing w:line="240" w:lineRule="atLeast"/>
        <w:rPr>
          <w:rFonts w:ascii="Arial" w:hAnsi="Arial" w:cs="Arial"/>
          <w:b/>
          <w:bCs/>
          <w:color w:val="000000"/>
        </w:rPr>
      </w:pPr>
      <w:bookmarkStart w:id="73" w:name="_DV_M71"/>
      <w:bookmarkEnd w:id="73"/>
    </w:p>
    <w:p w:rsidR="00BB3B1F" w:rsidRDefault="00BB3B1F" w:rsidP="00BB3B1F">
      <w:pPr>
        <w:spacing w:line="240" w:lineRule="atLeast"/>
        <w:rPr>
          <w:rFonts w:ascii="Arial" w:hAnsi="Arial" w:cs="Arial"/>
          <w:b/>
          <w:bCs/>
          <w:color w:val="000000"/>
        </w:rPr>
      </w:pPr>
      <w:r>
        <w:rPr>
          <w:rFonts w:ascii="Arial" w:hAnsi="Arial" w:cs="Arial"/>
          <w:b/>
          <w:bCs/>
          <w:color w:val="000000"/>
        </w:rPr>
        <w:t>11.0</w:t>
      </w:r>
      <w:r>
        <w:rPr>
          <w:rFonts w:ascii="Arial" w:hAnsi="Arial" w:cs="Arial"/>
          <w:b/>
          <w:bCs/>
          <w:color w:val="000000"/>
        </w:rPr>
        <w:tab/>
        <w:t>Maximum Maturities:</w:t>
      </w:r>
    </w:p>
    <w:p w:rsidR="00BB3B1F" w:rsidRDefault="00BB3B1F" w:rsidP="00BB3B1F">
      <w:pPr>
        <w:spacing w:before="240" w:line="240" w:lineRule="atLeast"/>
        <w:rPr>
          <w:rFonts w:ascii="Arial" w:hAnsi="Arial" w:cs="Arial"/>
          <w:color w:val="000000"/>
        </w:rPr>
      </w:pPr>
      <w:bookmarkStart w:id="74" w:name="_DV_M72"/>
      <w:bookmarkEnd w:id="74"/>
      <w:r>
        <w:rPr>
          <w:rFonts w:ascii="Arial" w:hAnsi="Arial" w:cs="Arial"/>
          <w:color w:val="000000"/>
        </w:rPr>
        <w:t xml:space="preserve">To the extent possible, the </w:t>
      </w:r>
      <w:r w:rsidR="00A74C88">
        <w:rPr>
          <w:rFonts w:ascii="Arial" w:hAnsi="Arial" w:cs="Arial"/>
        </w:rPr>
        <w:t>City Of Beverly Hills</w:t>
      </w:r>
      <w:r>
        <w:rPr>
          <w:rFonts w:ascii="Arial" w:hAnsi="Arial" w:cs="Arial"/>
          <w:color w:val="000000"/>
        </w:rPr>
        <w:t xml:space="preserve"> will attempt to match its investments with anticipated cash flow requirements.  Unless matched to a specific cash flow, the </w:t>
      </w:r>
      <w:r w:rsidR="00A74C88">
        <w:rPr>
          <w:rFonts w:ascii="Arial" w:hAnsi="Arial" w:cs="Arial"/>
        </w:rPr>
        <w:t>City Of Beverly Hills</w:t>
      </w:r>
      <w:r>
        <w:rPr>
          <w:rFonts w:ascii="Arial" w:hAnsi="Arial" w:cs="Arial"/>
          <w:color w:val="000000"/>
        </w:rPr>
        <w:t xml:space="preserve"> will not directly invest in securities maturing more than five (5) years from the date of purchase.</w:t>
      </w:r>
    </w:p>
    <w:p w:rsidR="00BB3B1F" w:rsidRDefault="00BB3B1F" w:rsidP="00BB3B1F">
      <w:pPr>
        <w:spacing w:before="240" w:line="240" w:lineRule="atLeast"/>
        <w:rPr>
          <w:rFonts w:ascii="Arial" w:hAnsi="Arial" w:cs="Arial"/>
          <w:b/>
          <w:bCs/>
          <w:color w:val="000000"/>
        </w:rPr>
      </w:pPr>
      <w:bookmarkStart w:id="75" w:name="_DV_M73"/>
      <w:bookmarkEnd w:id="75"/>
      <w:r>
        <w:rPr>
          <w:rFonts w:ascii="Arial" w:hAnsi="Arial" w:cs="Arial"/>
          <w:b/>
          <w:bCs/>
          <w:color w:val="000000"/>
        </w:rPr>
        <w:t>12.0</w:t>
      </w:r>
      <w:r>
        <w:rPr>
          <w:rFonts w:ascii="Arial" w:hAnsi="Arial" w:cs="Arial"/>
          <w:b/>
          <w:bCs/>
          <w:color w:val="000000"/>
        </w:rPr>
        <w:tab/>
        <w:t>Internal Control and Audits:</w:t>
      </w:r>
    </w:p>
    <w:p w:rsidR="00BB3B1F" w:rsidRDefault="00BB3B1F" w:rsidP="00BB3B1F">
      <w:pPr>
        <w:spacing w:before="240" w:line="240" w:lineRule="atLeast"/>
        <w:rPr>
          <w:rFonts w:ascii="Arial" w:hAnsi="Arial" w:cs="Arial"/>
          <w:color w:val="000000"/>
        </w:rPr>
      </w:pPr>
      <w:bookmarkStart w:id="76" w:name="_DV_M74"/>
      <w:bookmarkEnd w:id="76"/>
      <w:r>
        <w:rPr>
          <w:rFonts w:ascii="Arial" w:hAnsi="Arial" w:cs="Arial"/>
          <w:color w:val="000000"/>
        </w:rPr>
        <w:t>The Chief Financial Officer shall establish an annual process of independent review by an external auditor.  This review may be part of the City's annual financial audit performed by an independent certified public accountant which is designed to meet the requirements of the federal Single Audit Act of 1984 and related Office of Management and Budget Circular A-128 or at any other time as determined by the Chief Financial Officer.</w:t>
      </w:r>
    </w:p>
    <w:p w:rsidR="00BB3B1F" w:rsidRDefault="00BB3B1F" w:rsidP="00BB3B1F">
      <w:pPr>
        <w:keepNext/>
        <w:keepLines/>
        <w:spacing w:before="240" w:line="240" w:lineRule="atLeast"/>
        <w:rPr>
          <w:rFonts w:ascii="Arial" w:hAnsi="Arial" w:cs="Arial"/>
          <w:b/>
          <w:bCs/>
          <w:color w:val="000000"/>
        </w:rPr>
      </w:pPr>
      <w:bookmarkStart w:id="77" w:name="_DV_M75"/>
      <w:bookmarkEnd w:id="77"/>
      <w:r>
        <w:rPr>
          <w:rFonts w:ascii="Arial" w:hAnsi="Arial" w:cs="Arial"/>
          <w:b/>
          <w:bCs/>
          <w:color w:val="000000"/>
        </w:rPr>
        <w:t>13.0</w:t>
      </w:r>
      <w:r>
        <w:rPr>
          <w:rFonts w:ascii="Arial" w:hAnsi="Arial" w:cs="Arial"/>
          <w:b/>
          <w:bCs/>
          <w:color w:val="000000"/>
        </w:rPr>
        <w:tab/>
        <w:t>Reporting</w:t>
      </w:r>
      <w:r w:rsidR="0075231C">
        <w:rPr>
          <w:rFonts w:ascii="Arial" w:hAnsi="Arial" w:cs="Arial"/>
          <w:b/>
          <w:bCs/>
          <w:color w:val="000000"/>
        </w:rPr>
        <w:t xml:space="preserve"> and Investment Policy Adoption</w:t>
      </w:r>
      <w:r>
        <w:rPr>
          <w:rFonts w:ascii="Arial" w:hAnsi="Arial" w:cs="Arial"/>
          <w:b/>
          <w:bCs/>
          <w:color w:val="000000"/>
        </w:rPr>
        <w:t>:</w:t>
      </w:r>
    </w:p>
    <w:p w:rsidR="00BB3B1F" w:rsidRDefault="00BB3B1F" w:rsidP="00BB3B1F">
      <w:pPr>
        <w:spacing w:before="240" w:line="240" w:lineRule="atLeast"/>
        <w:rPr>
          <w:rFonts w:ascii="Arial" w:hAnsi="Arial" w:cs="Arial"/>
          <w:color w:val="000000"/>
        </w:rPr>
      </w:pPr>
      <w:bookmarkStart w:id="78" w:name="_DV_M76"/>
      <w:bookmarkEnd w:id="78"/>
      <w:r>
        <w:rPr>
          <w:rFonts w:ascii="Arial" w:hAnsi="Arial" w:cs="Arial"/>
          <w:color w:val="000000"/>
        </w:rPr>
        <w:t>The Investment Committee, as defined in Section 5.0 of this policy, shall review and update this Investment Policy annually and present the written, updated policy to the City Council</w:t>
      </w:r>
      <w:r w:rsidR="00466921">
        <w:rPr>
          <w:rFonts w:ascii="Arial" w:hAnsi="Arial" w:cs="Arial"/>
          <w:color w:val="000000"/>
        </w:rPr>
        <w:t xml:space="preserve"> </w:t>
      </w:r>
      <w:r>
        <w:rPr>
          <w:rFonts w:ascii="Arial" w:hAnsi="Arial" w:cs="Arial"/>
          <w:color w:val="000000"/>
        </w:rPr>
        <w:t xml:space="preserve">for consideration and adoption as provided in Government Code Section 53646.  </w:t>
      </w:r>
      <w:r w:rsidR="001A6076">
        <w:rPr>
          <w:rFonts w:ascii="Arial" w:hAnsi="Arial" w:cs="Arial"/>
          <w:color w:val="000000"/>
        </w:rPr>
        <w:t>Quarterly Investment Reports</w:t>
      </w:r>
      <w:r>
        <w:rPr>
          <w:rFonts w:ascii="Arial" w:hAnsi="Arial" w:cs="Arial"/>
          <w:color w:val="000000"/>
        </w:rPr>
        <w:t xml:space="preserve"> shall be prepared and </w:t>
      </w:r>
      <w:r w:rsidR="001A6076">
        <w:rPr>
          <w:rFonts w:ascii="Arial" w:hAnsi="Arial" w:cs="Arial"/>
          <w:color w:val="000000"/>
        </w:rPr>
        <w:t xml:space="preserve">presented </w:t>
      </w:r>
      <w:r>
        <w:rPr>
          <w:rFonts w:ascii="Arial" w:hAnsi="Arial" w:cs="Arial"/>
          <w:color w:val="000000"/>
        </w:rPr>
        <w:t xml:space="preserve">to the City Council </w:t>
      </w:r>
      <w:r w:rsidR="001A6076">
        <w:rPr>
          <w:rFonts w:ascii="Arial" w:hAnsi="Arial" w:cs="Arial"/>
          <w:color w:val="000000"/>
        </w:rPr>
        <w:t xml:space="preserve">for acceptance </w:t>
      </w:r>
      <w:r>
        <w:rPr>
          <w:rFonts w:ascii="Arial" w:hAnsi="Arial" w:cs="Arial"/>
          <w:color w:val="000000"/>
        </w:rPr>
        <w:t>as provided in Government Code Section 53646.</w:t>
      </w:r>
    </w:p>
    <w:p w:rsidR="00BB3B1F" w:rsidRDefault="00BB3B1F" w:rsidP="00BB3B1F">
      <w:pPr>
        <w:jc w:val="center"/>
        <w:outlineLvl w:val="0"/>
        <w:rPr>
          <w:rFonts w:ascii="Arial" w:hAnsi="Arial" w:cs="Arial"/>
          <w:b/>
          <w:bCs/>
          <w:color w:val="000000"/>
        </w:rPr>
      </w:pPr>
      <w:bookmarkStart w:id="79" w:name="_DV_M77"/>
      <w:bookmarkStart w:id="80" w:name="_DV_M78"/>
      <w:bookmarkStart w:id="81" w:name="_DV_M79"/>
      <w:bookmarkEnd w:id="79"/>
      <w:bookmarkEnd w:id="80"/>
      <w:bookmarkEnd w:id="81"/>
      <w:r>
        <w:rPr>
          <w:rFonts w:ascii="Arial" w:hAnsi="Arial" w:cs="Arial"/>
          <w:color w:val="000000"/>
        </w:rPr>
        <w:br w:type="column"/>
      </w:r>
      <w:r>
        <w:rPr>
          <w:rFonts w:ascii="Arial" w:hAnsi="Arial" w:cs="Arial"/>
          <w:b/>
          <w:bCs/>
          <w:color w:val="000000"/>
        </w:rPr>
        <w:t>TABLE 1</w:t>
      </w:r>
    </w:p>
    <w:p w:rsidR="00BB3B1F" w:rsidRDefault="00BB3B1F" w:rsidP="00BB3B1F">
      <w:pPr>
        <w:spacing w:line="240" w:lineRule="atLeast"/>
        <w:rPr>
          <w:rFonts w:ascii="Arial" w:hAnsi="Arial" w:cs="Arial"/>
          <w:color w:val="000000"/>
          <w:sz w:val="16"/>
          <w:szCs w:val="16"/>
        </w:rPr>
      </w:pPr>
    </w:p>
    <w:tbl>
      <w:tblPr>
        <w:tblW w:w="0" w:type="auto"/>
        <w:tblLayout w:type="fixed"/>
        <w:tblLook w:val="0000" w:firstRow="0" w:lastRow="0" w:firstColumn="0" w:lastColumn="0" w:noHBand="0" w:noVBand="0"/>
      </w:tblPr>
      <w:tblGrid>
        <w:gridCol w:w="588"/>
        <w:gridCol w:w="3618"/>
        <w:gridCol w:w="2112"/>
        <w:gridCol w:w="2118"/>
        <w:gridCol w:w="312"/>
        <w:gridCol w:w="1230"/>
        <w:gridCol w:w="16"/>
      </w:tblGrid>
      <w:tr w:rsidR="00BB3B1F" w:rsidTr="00F65AEA">
        <w:trPr>
          <w:gridAfter w:val="1"/>
          <w:wAfter w:w="15" w:type="dxa"/>
        </w:trPr>
        <w:tc>
          <w:tcPr>
            <w:tcW w:w="4206" w:type="dxa"/>
            <w:gridSpan w:val="2"/>
          </w:tcPr>
          <w:p w:rsidR="00BB3B1F" w:rsidRDefault="00BB3B1F" w:rsidP="00F65AEA">
            <w:pPr>
              <w:tabs>
                <w:tab w:val="left" w:pos="-720"/>
              </w:tabs>
              <w:jc w:val="center"/>
              <w:rPr>
                <w:rFonts w:ascii="Arial" w:hAnsi="Arial" w:cs="Arial"/>
                <w:b/>
                <w:bCs/>
                <w:color w:val="000000"/>
                <w:u w:val="single"/>
              </w:rPr>
            </w:pPr>
            <w:r>
              <w:rPr>
                <w:rFonts w:ascii="Arial" w:hAnsi="Arial" w:cs="Arial"/>
                <w:b/>
                <w:bCs/>
                <w:color w:val="000000"/>
                <w:u w:val="single"/>
              </w:rPr>
              <w:t>Investment Type</w:t>
            </w:r>
          </w:p>
        </w:tc>
        <w:tc>
          <w:tcPr>
            <w:tcW w:w="2112" w:type="dxa"/>
          </w:tcPr>
          <w:p w:rsidR="00BB3B1F" w:rsidRDefault="00BB3B1F" w:rsidP="00F65AEA">
            <w:pPr>
              <w:tabs>
                <w:tab w:val="left" w:pos="-720"/>
              </w:tabs>
              <w:spacing w:line="240" w:lineRule="atLeast"/>
              <w:jc w:val="center"/>
              <w:rPr>
                <w:rFonts w:ascii="Arial" w:hAnsi="Arial" w:cs="Arial"/>
                <w:b/>
                <w:bCs/>
                <w:color w:val="000000"/>
                <w:u w:val="single"/>
              </w:rPr>
            </w:pPr>
            <w:r>
              <w:rPr>
                <w:rFonts w:ascii="Arial" w:hAnsi="Arial" w:cs="Arial"/>
                <w:b/>
                <w:bCs/>
                <w:color w:val="000000"/>
                <w:u w:val="single"/>
              </w:rPr>
              <w:t xml:space="preserve">Dollar or </w:t>
            </w:r>
          </w:p>
          <w:p w:rsidR="00BB3B1F" w:rsidRDefault="00BB3B1F" w:rsidP="00F65AEA">
            <w:pPr>
              <w:tabs>
                <w:tab w:val="left" w:pos="-720"/>
              </w:tabs>
              <w:spacing w:line="240" w:lineRule="atLeast"/>
              <w:jc w:val="center"/>
              <w:rPr>
                <w:rFonts w:ascii="Arial" w:hAnsi="Arial" w:cs="Arial"/>
                <w:color w:val="000000"/>
              </w:rPr>
            </w:pPr>
            <w:r>
              <w:rPr>
                <w:rFonts w:ascii="Arial" w:hAnsi="Arial" w:cs="Arial"/>
                <w:b/>
                <w:bCs/>
                <w:color w:val="000000"/>
                <w:u w:val="single"/>
              </w:rPr>
              <w:t>Percent Limits</w:t>
            </w:r>
          </w:p>
          <w:p w:rsidR="00BB3B1F" w:rsidRDefault="00BB3B1F" w:rsidP="00F65AEA">
            <w:pPr>
              <w:tabs>
                <w:tab w:val="left" w:pos="-720"/>
              </w:tabs>
              <w:spacing w:line="240" w:lineRule="atLeast"/>
              <w:jc w:val="center"/>
              <w:rPr>
                <w:rFonts w:ascii="Arial" w:hAnsi="Arial" w:cs="Arial"/>
                <w:color w:val="000000"/>
                <w:sz w:val="20"/>
                <w:szCs w:val="20"/>
              </w:rPr>
            </w:pPr>
            <w:r>
              <w:rPr>
                <w:rFonts w:ascii="Arial" w:hAnsi="Arial" w:cs="Arial"/>
                <w:color w:val="000000"/>
                <w:sz w:val="20"/>
                <w:szCs w:val="20"/>
              </w:rPr>
              <w:t>(calculated separately for each agency’s portfolio)</w:t>
            </w:r>
          </w:p>
        </w:tc>
        <w:tc>
          <w:tcPr>
            <w:tcW w:w="2118" w:type="dxa"/>
          </w:tcPr>
          <w:p w:rsidR="00BB3B1F" w:rsidRDefault="00BB3B1F" w:rsidP="00F65AEA">
            <w:pPr>
              <w:tabs>
                <w:tab w:val="left" w:pos="-720"/>
              </w:tabs>
              <w:spacing w:line="240" w:lineRule="atLeast"/>
              <w:jc w:val="center"/>
              <w:rPr>
                <w:rFonts w:ascii="Arial" w:hAnsi="Arial" w:cs="Arial"/>
                <w:b/>
                <w:bCs/>
                <w:color w:val="000000"/>
                <w:u w:val="single"/>
              </w:rPr>
            </w:pPr>
            <w:r>
              <w:rPr>
                <w:rFonts w:ascii="Arial" w:hAnsi="Arial" w:cs="Arial"/>
                <w:b/>
                <w:bCs/>
                <w:color w:val="000000"/>
                <w:u w:val="single"/>
              </w:rPr>
              <w:t>Maturity</w:t>
            </w:r>
          </w:p>
        </w:tc>
        <w:tc>
          <w:tcPr>
            <w:tcW w:w="1542" w:type="dxa"/>
            <w:gridSpan w:val="2"/>
          </w:tcPr>
          <w:p w:rsidR="00BB3B1F" w:rsidRDefault="00BB3B1F" w:rsidP="00F65AEA">
            <w:pPr>
              <w:tabs>
                <w:tab w:val="left" w:pos="-720"/>
              </w:tabs>
              <w:spacing w:line="240" w:lineRule="atLeast"/>
              <w:jc w:val="center"/>
              <w:rPr>
                <w:rFonts w:ascii="Arial" w:hAnsi="Arial" w:cs="Arial"/>
                <w:b/>
                <w:bCs/>
                <w:color w:val="000000"/>
                <w:u w:val="single"/>
              </w:rPr>
            </w:pPr>
            <w:r>
              <w:rPr>
                <w:rFonts w:ascii="Arial" w:hAnsi="Arial" w:cs="Arial"/>
                <w:b/>
                <w:bCs/>
                <w:color w:val="000000"/>
                <w:u w:val="single"/>
              </w:rPr>
              <w:t>Liquid</w:t>
            </w:r>
          </w:p>
        </w:tc>
      </w:tr>
      <w:tr w:rsidR="00BB3B1F" w:rsidTr="00F65AEA">
        <w:tc>
          <w:tcPr>
            <w:tcW w:w="587" w:type="dxa"/>
          </w:tcPr>
          <w:p w:rsidR="00BB3B1F" w:rsidRDefault="00BB3B1F" w:rsidP="00F65AEA">
            <w:pPr>
              <w:tabs>
                <w:tab w:val="left" w:pos="-720"/>
                <w:tab w:val="left" w:pos="360"/>
              </w:tabs>
              <w:spacing w:line="240" w:lineRule="atLeast"/>
              <w:rPr>
                <w:rFonts w:ascii="Arial" w:hAnsi="Arial" w:cs="Arial"/>
                <w:b/>
                <w:bCs/>
                <w:color w:val="000000"/>
              </w:rPr>
            </w:pPr>
            <w:r>
              <w:rPr>
                <w:rFonts w:ascii="Arial" w:hAnsi="Arial" w:cs="Arial"/>
                <w:b/>
                <w:bCs/>
                <w:color w:val="000000"/>
              </w:rPr>
              <w:t>1.</w:t>
            </w:r>
          </w:p>
        </w:tc>
        <w:tc>
          <w:tcPr>
            <w:tcW w:w="9406" w:type="dxa"/>
            <w:gridSpan w:val="6"/>
          </w:tcPr>
          <w:p w:rsidR="00BB3B1F" w:rsidRDefault="00BB3B1F" w:rsidP="00F65AEA">
            <w:pPr>
              <w:tabs>
                <w:tab w:val="left" w:pos="-720"/>
              </w:tabs>
              <w:spacing w:line="240" w:lineRule="atLeast"/>
              <w:jc w:val="left"/>
              <w:rPr>
                <w:rFonts w:ascii="Arial" w:hAnsi="Arial" w:cs="Arial"/>
                <w:b/>
                <w:bCs/>
                <w:color w:val="000000"/>
                <w:u w:val="single"/>
              </w:rPr>
            </w:pPr>
            <w:r>
              <w:rPr>
                <w:rFonts w:ascii="Arial" w:hAnsi="Arial" w:cs="Arial"/>
                <w:b/>
                <w:bCs/>
                <w:color w:val="000000"/>
                <w:u w:val="single"/>
              </w:rPr>
              <w:t>General Instruments</w:t>
            </w:r>
          </w:p>
        </w:tc>
      </w:tr>
      <w:tr w:rsidR="00BB3B1F" w:rsidTr="00F65AEA">
        <w:trPr>
          <w:gridAfter w:val="1"/>
          <w:wAfter w:w="15" w:type="dxa"/>
        </w:trPr>
        <w:tc>
          <w:tcPr>
            <w:tcW w:w="588" w:type="dxa"/>
          </w:tcPr>
          <w:p w:rsidR="00BB3B1F" w:rsidRDefault="00BB3B1F" w:rsidP="00F65AEA">
            <w:pPr>
              <w:tabs>
                <w:tab w:val="left" w:pos="-720"/>
                <w:tab w:val="left" w:pos="360"/>
              </w:tabs>
              <w:spacing w:before="240" w:line="240" w:lineRule="atLeast"/>
              <w:ind w:left="360" w:hanging="360"/>
              <w:rPr>
                <w:rFonts w:ascii="Arial" w:hAnsi="Arial" w:cs="Arial"/>
                <w:b/>
                <w:bCs/>
                <w:color w:val="000000"/>
              </w:rPr>
            </w:pPr>
          </w:p>
        </w:tc>
        <w:tc>
          <w:tcPr>
            <w:tcW w:w="3618" w:type="dxa"/>
          </w:tcPr>
          <w:p w:rsidR="00BB3B1F" w:rsidRDefault="00BB3B1F" w:rsidP="00F65AEA">
            <w:pPr>
              <w:tabs>
                <w:tab w:val="left" w:pos="-720"/>
              </w:tabs>
              <w:jc w:val="left"/>
              <w:rPr>
                <w:rFonts w:ascii="Arial" w:hAnsi="Arial" w:cs="Arial"/>
                <w:color w:val="000000"/>
              </w:rPr>
            </w:pPr>
          </w:p>
          <w:p w:rsidR="00BB3B1F" w:rsidRDefault="00BB3B1F" w:rsidP="00F65AEA">
            <w:pPr>
              <w:tabs>
                <w:tab w:val="left" w:pos="-720"/>
              </w:tabs>
              <w:jc w:val="left"/>
              <w:rPr>
                <w:rFonts w:ascii="Arial" w:hAnsi="Arial" w:cs="Arial"/>
                <w:color w:val="000000"/>
              </w:rPr>
            </w:pPr>
            <w:r>
              <w:rPr>
                <w:rFonts w:ascii="Arial" w:hAnsi="Arial" w:cs="Arial"/>
                <w:color w:val="000000"/>
              </w:rPr>
              <w:t>State Investment Fund (LAIF)</w:t>
            </w:r>
          </w:p>
        </w:tc>
        <w:tc>
          <w:tcPr>
            <w:tcW w:w="2112" w:type="dxa"/>
          </w:tcPr>
          <w:p w:rsidR="00BB3B1F" w:rsidRDefault="00BB3B1F" w:rsidP="00F65AEA">
            <w:pPr>
              <w:tabs>
                <w:tab w:val="left" w:pos="-720"/>
              </w:tabs>
              <w:spacing w:before="120"/>
              <w:jc w:val="center"/>
              <w:rPr>
                <w:rFonts w:ascii="Arial" w:hAnsi="Arial" w:cs="Arial"/>
                <w:color w:val="000000"/>
              </w:rPr>
            </w:pPr>
            <w:r>
              <w:rPr>
                <w:rFonts w:ascii="Arial" w:hAnsi="Arial" w:cs="Arial"/>
                <w:color w:val="000000"/>
              </w:rPr>
              <w:t>The maximum set by LAIF</w:t>
            </w:r>
          </w:p>
        </w:tc>
        <w:tc>
          <w:tcPr>
            <w:tcW w:w="2430" w:type="dxa"/>
            <w:gridSpan w:val="2"/>
          </w:tcPr>
          <w:p w:rsidR="00BB3B1F" w:rsidRDefault="00BB3B1F" w:rsidP="00F65AEA">
            <w:pPr>
              <w:tabs>
                <w:tab w:val="left" w:pos="-720"/>
              </w:tabs>
              <w:spacing w:before="120"/>
              <w:jc w:val="center"/>
              <w:rPr>
                <w:rFonts w:ascii="Arial" w:hAnsi="Arial" w:cs="Arial"/>
                <w:color w:val="000000"/>
              </w:rPr>
            </w:pPr>
            <w:r>
              <w:rPr>
                <w:rFonts w:ascii="Arial" w:hAnsi="Arial" w:cs="Arial"/>
                <w:color w:val="000000"/>
              </w:rPr>
              <w:t>On demand</w:t>
            </w:r>
          </w:p>
        </w:tc>
        <w:tc>
          <w:tcPr>
            <w:tcW w:w="1230" w:type="dxa"/>
          </w:tcPr>
          <w:p w:rsidR="00BB3B1F" w:rsidRDefault="00BB3B1F" w:rsidP="00F65AEA">
            <w:pPr>
              <w:tabs>
                <w:tab w:val="left" w:pos="-720"/>
              </w:tabs>
              <w:spacing w:before="120"/>
              <w:jc w:val="center"/>
              <w:rPr>
                <w:rFonts w:ascii="Arial" w:hAnsi="Arial" w:cs="Arial"/>
                <w:color w:val="000000"/>
              </w:rPr>
            </w:pPr>
            <w:r>
              <w:rPr>
                <w:rFonts w:ascii="Arial" w:hAnsi="Arial" w:cs="Arial"/>
                <w:color w:val="000000"/>
              </w:rPr>
              <w:br/>
              <w:t>Yes</w:t>
            </w:r>
          </w:p>
        </w:tc>
      </w:tr>
      <w:tr w:rsidR="00BB3B1F" w:rsidTr="00F65AEA">
        <w:trPr>
          <w:gridAfter w:val="1"/>
          <w:wAfter w:w="15" w:type="dxa"/>
        </w:trPr>
        <w:tc>
          <w:tcPr>
            <w:tcW w:w="588" w:type="dxa"/>
          </w:tcPr>
          <w:p w:rsidR="00BB3B1F" w:rsidRDefault="00BB3B1F" w:rsidP="00F65AEA">
            <w:pPr>
              <w:tabs>
                <w:tab w:val="left" w:pos="-720"/>
                <w:tab w:val="left" w:pos="360"/>
              </w:tabs>
              <w:spacing w:before="240" w:line="240" w:lineRule="atLeast"/>
              <w:ind w:left="360" w:hanging="360"/>
              <w:rPr>
                <w:rFonts w:ascii="Arial" w:hAnsi="Arial" w:cs="Arial"/>
                <w:color w:val="000000"/>
              </w:rPr>
            </w:pPr>
          </w:p>
        </w:tc>
        <w:tc>
          <w:tcPr>
            <w:tcW w:w="3618" w:type="dxa"/>
          </w:tcPr>
          <w:p w:rsidR="00BB3B1F" w:rsidRDefault="00BB3B1F" w:rsidP="00F65AEA">
            <w:pPr>
              <w:tabs>
                <w:tab w:val="left" w:pos="-720"/>
              </w:tabs>
              <w:jc w:val="left"/>
              <w:rPr>
                <w:rFonts w:ascii="Arial" w:hAnsi="Arial" w:cs="Arial"/>
                <w:color w:val="000000"/>
              </w:rPr>
            </w:pPr>
            <w:r>
              <w:rPr>
                <w:rFonts w:ascii="Arial" w:hAnsi="Arial" w:cs="Arial"/>
                <w:color w:val="000000"/>
              </w:rPr>
              <w:t xml:space="preserve">U.S. Treasury Bonds, Notes &amp; Bills </w:t>
            </w:r>
          </w:p>
        </w:tc>
        <w:tc>
          <w:tcPr>
            <w:tcW w:w="2112" w:type="dxa"/>
          </w:tcPr>
          <w:p w:rsidR="00BB3B1F" w:rsidRDefault="00BB3B1F" w:rsidP="00F65AEA">
            <w:pPr>
              <w:tabs>
                <w:tab w:val="left" w:pos="-720"/>
              </w:tabs>
              <w:jc w:val="center"/>
              <w:rPr>
                <w:rFonts w:ascii="Arial" w:hAnsi="Arial" w:cs="Arial"/>
                <w:color w:val="000000"/>
              </w:rPr>
            </w:pPr>
            <w:r>
              <w:rPr>
                <w:rFonts w:ascii="Arial" w:hAnsi="Arial" w:cs="Arial"/>
                <w:color w:val="000000"/>
              </w:rPr>
              <w:br/>
              <w:t>None</w:t>
            </w:r>
          </w:p>
        </w:tc>
        <w:tc>
          <w:tcPr>
            <w:tcW w:w="2430" w:type="dxa"/>
            <w:gridSpan w:val="2"/>
          </w:tcPr>
          <w:p w:rsidR="00BB3B1F" w:rsidRDefault="00BB3B1F" w:rsidP="00F65AEA">
            <w:pPr>
              <w:tabs>
                <w:tab w:val="left" w:pos="-720"/>
              </w:tabs>
              <w:jc w:val="left"/>
              <w:rPr>
                <w:rFonts w:ascii="Arial" w:hAnsi="Arial" w:cs="Arial"/>
                <w:color w:val="000000"/>
              </w:rPr>
            </w:pPr>
            <w:r>
              <w:rPr>
                <w:rFonts w:ascii="Arial" w:hAnsi="Arial" w:cs="Arial"/>
                <w:color w:val="000000"/>
                <w:sz w:val="18"/>
                <w:szCs w:val="18"/>
              </w:rPr>
              <w:t>Not to Exceed (NTE) 5 yrs.</w:t>
            </w:r>
            <w:r>
              <w:rPr>
                <w:rFonts w:ascii="Arial" w:hAnsi="Arial" w:cs="Arial"/>
                <w:color w:val="000000"/>
              </w:rPr>
              <w:br/>
              <w:t xml:space="preserve"> </w:t>
            </w:r>
          </w:p>
        </w:tc>
        <w:tc>
          <w:tcPr>
            <w:tcW w:w="1230" w:type="dxa"/>
          </w:tcPr>
          <w:p w:rsidR="00BB3B1F" w:rsidRDefault="00BB3B1F" w:rsidP="00F65AEA">
            <w:pPr>
              <w:tabs>
                <w:tab w:val="left" w:pos="-720"/>
              </w:tabs>
              <w:jc w:val="center"/>
              <w:rPr>
                <w:rFonts w:ascii="Arial" w:hAnsi="Arial" w:cs="Arial"/>
                <w:color w:val="000000"/>
              </w:rPr>
            </w:pPr>
            <w:r>
              <w:rPr>
                <w:rFonts w:ascii="Arial" w:hAnsi="Arial" w:cs="Arial"/>
                <w:color w:val="000000"/>
              </w:rPr>
              <w:br/>
              <w:t>Yes</w:t>
            </w:r>
          </w:p>
        </w:tc>
      </w:tr>
      <w:tr w:rsidR="00BB3B1F" w:rsidTr="00F65AEA">
        <w:trPr>
          <w:gridAfter w:val="1"/>
          <w:wAfter w:w="15" w:type="dxa"/>
        </w:trPr>
        <w:tc>
          <w:tcPr>
            <w:tcW w:w="588" w:type="dxa"/>
          </w:tcPr>
          <w:p w:rsidR="00BB3B1F" w:rsidRDefault="00BB3B1F" w:rsidP="00F65AEA">
            <w:pPr>
              <w:tabs>
                <w:tab w:val="left" w:pos="-720"/>
                <w:tab w:val="left" w:pos="360"/>
              </w:tabs>
              <w:spacing w:before="240" w:line="240" w:lineRule="atLeast"/>
              <w:ind w:left="360" w:hanging="360"/>
              <w:rPr>
                <w:rFonts w:ascii="Arial" w:hAnsi="Arial" w:cs="Arial"/>
                <w:color w:val="000000"/>
              </w:rPr>
            </w:pPr>
          </w:p>
        </w:tc>
        <w:tc>
          <w:tcPr>
            <w:tcW w:w="3618" w:type="dxa"/>
          </w:tcPr>
          <w:p w:rsidR="00BB3B1F" w:rsidRDefault="00BB3B1F" w:rsidP="00F65AEA">
            <w:pPr>
              <w:tabs>
                <w:tab w:val="left" w:pos="-720"/>
              </w:tabs>
              <w:jc w:val="left"/>
              <w:rPr>
                <w:rFonts w:ascii="Arial" w:hAnsi="Arial" w:cs="Arial"/>
                <w:color w:val="000000"/>
              </w:rPr>
            </w:pPr>
            <w:r>
              <w:rPr>
                <w:rFonts w:ascii="Arial" w:hAnsi="Arial" w:cs="Arial"/>
                <w:color w:val="000000"/>
              </w:rPr>
              <w:t>U.S. Government Agencies</w:t>
            </w:r>
          </w:p>
        </w:tc>
        <w:tc>
          <w:tcPr>
            <w:tcW w:w="2112" w:type="dxa"/>
          </w:tcPr>
          <w:p w:rsidR="00BB3B1F" w:rsidRDefault="00BB3B1F" w:rsidP="00F65AEA">
            <w:pPr>
              <w:tabs>
                <w:tab w:val="left" w:pos="-720"/>
              </w:tabs>
              <w:jc w:val="center"/>
              <w:rPr>
                <w:rFonts w:ascii="Arial" w:hAnsi="Arial" w:cs="Arial"/>
                <w:color w:val="000000"/>
              </w:rPr>
            </w:pPr>
            <w:r>
              <w:rPr>
                <w:rFonts w:ascii="Arial" w:hAnsi="Arial" w:cs="Arial"/>
                <w:color w:val="000000"/>
              </w:rPr>
              <w:t>None</w:t>
            </w:r>
          </w:p>
        </w:tc>
        <w:tc>
          <w:tcPr>
            <w:tcW w:w="2430" w:type="dxa"/>
            <w:gridSpan w:val="2"/>
          </w:tcPr>
          <w:p w:rsidR="00BB3B1F" w:rsidRDefault="00BB3B1F" w:rsidP="00F65AEA">
            <w:pPr>
              <w:tabs>
                <w:tab w:val="left" w:pos="-720"/>
              </w:tabs>
              <w:jc w:val="center"/>
              <w:rPr>
                <w:rFonts w:ascii="Arial" w:hAnsi="Arial" w:cs="Arial"/>
                <w:color w:val="000000"/>
              </w:rPr>
            </w:pPr>
            <w:r>
              <w:rPr>
                <w:rFonts w:ascii="Arial" w:hAnsi="Arial" w:cs="Arial"/>
                <w:color w:val="000000"/>
              </w:rPr>
              <w:t>NTE 5 yrs.</w:t>
            </w:r>
          </w:p>
        </w:tc>
        <w:tc>
          <w:tcPr>
            <w:tcW w:w="1230" w:type="dxa"/>
          </w:tcPr>
          <w:p w:rsidR="00BB3B1F" w:rsidRDefault="00BB3B1F" w:rsidP="00F65AEA">
            <w:pPr>
              <w:tabs>
                <w:tab w:val="left" w:pos="-720"/>
              </w:tabs>
              <w:jc w:val="center"/>
              <w:rPr>
                <w:rFonts w:ascii="Arial" w:hAnsi="Arial" w:cs="Arial"/>
                <w:color w:val="000000"/>
              </w:rPr>
            </w:pPr>
            <w:r>
              <w:rPr>
                <w:rFonts w:ascii="Arial" w:hAnsi="Arial" w:cs="Arial"/>
                <w:color w:val="000000"/>
              </w:rPr>
              <w:t>Yes</w:t>
            </w:r>
          </w:p>
        </w:tc>
      </w:tr>
      <w:tr w:rsidR="00BB3B1F" w:rsidTr="00F65AEA">
        <w:trPr>
          <w:gridAfter w:val="1"/>
          <w:wAfter w:w="15" w:type="dxa"/>
        </w:trPr>
        <w:tc>
          <w:tcPr>
            <w:tcW w:w="588" w:type="dxa"/>
          </w:tcPr>
          <w:p w:rsidR="00BB3B1F" w:rsidRDefault="00BB3B1F" w:rsidP="00F65AEA">
            <w:pPr>
              <w:tabs>
                <w:tab w:val="left" w:pos="-720"/>
                <w:tab w:val="left" w:pos="360"/>
              </w:tabs>
              <w:spacing w:before="240" w:line="240" w:lineRule="atLeast"/>
              <w:ind w:left="360" w:hanging="360"/>
              <w:rPr>
                <w:rFonts w:ascii="Arial" w:hAnsi="Arial" w:cs="Arial"/>
                <w:color w:val="000000"/>
              </w:rPr>
            </w:pPr>
          </w:p>
        </w:tc>
        <w:tc>
          <w:tcPr>
            <w:tcW w:w="3618" w:type="dxa"/>
          </w:tcPr>
          <w:p w:rsidR="00BB3B1F" w:rsidRDefault="0093153D" w:rsidP="00E52410">
            <w:pPr>
              <w:tabs>
                <w:tab w:val="left" w:pos="-720"/>
              </w:tabs>
              <w:jc w:val="left"/>
              <w:rPr>
                <w:rFonts w:ascii="Arial" w:hAnsi="Arial" w:cs="Arial"/>
                <w:color w:val="000000"/>
              </w:rPr>
            </w:pPr>
            <w:r>
              <w:rPr>
                <w:rFonts w:ascii="Arial" w:hAnsi="Arial" w:cs="Arial"/>
                <w:color w:val="000000"/>
              </w:rPr>
              <w:t>Any o</w:t>
            </w:r>
            <w:r w:rsidR="00BB3B1F">
              <w:rPr>
                <w:rFonts w:ascii="Arial" w:hAnsi="Arial" w:cs="Arial"/>
                <w:color w:val="000000"/>
              </w:rPr>
              <w:t xml:space="preserve">bligation of the State of California or </w:t>
            </w:r>
            <w:r w:rsidR="00E52410">
              <w:rPr>
                <w:rFonts w:ascii="Arial" w:hAnsi="Arial" w:cs="Arial"/>
                <w:color w:val="000000"/>
              </w:rPr>
              <w:t xml:space="preserve">all obligations of a </w:t>
            </w:r>
            <w:r w:rsidR="00BB3B1F">
              <w:rPr>
                <w:rFonts w:ascii="Arial" w:hAnsi="Arial" w:cs="Arial"/>
                <w:color w:val="000000"/>
              </w:rPr>
              <w:t>local agency of the State of California with a credit rating of “A1” or above before insurance.</w:t>
            </w:r>
          </w:p>
        </w:tc>
        <w:tc>
          <w:tcPr>
            <w:tcW w:w="2112" w:type="dxa"/>
          </w:tcPr>
          <w:p w:rsidR="00BB3B1F" w:rsidRDefault="00BB3B1F" w:rsidP="00F65AEA">
            <w:pPr>
              <w:tabs>
                <w:tab w:val="left" w:pos="-720"/>
              </w:tabs>
              <w:jc w:val="center"/>
              <w:rPr>
                <w:rFonts w:ascii="Arial" w:hAnsi="Arial" w:cs="Arial"/>
                <w:color w:val="000000"/>
              </w:rPr>
            </w:pPr>
            <w:r>
              <w:rPr>
                <w:rFonts w:ascii="Arial" w:hAnsi="Arial" w:cs="Arial"/>
                <w:color w:val="000000"/>
              </w:rPr>
              <w:t>25% of total portfolio</w:t>
            </w:r>
          </w:p>
        </w:tc>
        <w:tc>
          <w:tcPr>
            <w:tcW w:w="2430" w:type="dxa"/>
            <w:gridSpan w:val="2"/>
          </w:tcPr>
          <w:p w:rsidR="00BB3B1F" w:rsidRDefault="00BB3B1F" w:rsidP="00F65AEA">
            <w:pPr>
              <w:tabs>
                <w:tab w:val="left" w:pos="-720"/>
              </w:tabs>
              <w:jc w:val="center"/>
              <w:rPr>
                <w:rFonts w:ascii="Arial" w:hAnsi="Arial" w:cs="Arial"/>
                <w:color w:val="000000"/>
              </w:rPr>
            </w:pPr>
            <w:r>
              <w:rPr>
                <w:rFonts w:ascii="Arial" w:hAnsi="Arial" w:cs="Arial"/>
                <w:color w:val="000000"/>
              </w:rPr>
              <w:t>NTE 5 yrs.</w:t>
            </w:r>
          </w:p>
        </w:tc>
        <w:tc>
          <w:tcPr>
            <w:tcW w:w="1230" w:type="dxa"/>
          </w:tcPr>
          <w:p w:rsidR="00BB3B1F" w:rsidRDefault="00BB3B1F" w:rsidP="00F65AEA">
            <w:pPr>
              <w:tabs>
                <w:tab w:val="left" w:pos="-720"/>
              </w:tabs>
              <w:jc w:val="center"/>
              <w:rPr>
                <w:rFonts w:ascii="Arial" w:hAnsi="Arial" w:cs="Arial"/>
                <w:color w:val="000000"/>
              </w:rPr>
            </w:pPr>
            <w:r>
              <w:rPr>
                <w:rFonts w:ascii="Arial" w:hAnsi="Arial" w:cs="Arial"/>
                <w:color w:val="000000"/>
              </w:rPr>
              <w:t>Yes</w:t>
            </w:r>
          </w:p>
        </w:tc>
      </w:tr>
    </w:tbl>
    <w:p w:rsidR="00BB3B1F" w:rsidRDefault="00BB3B1F" w:rsidP="00BB3B1F">
      <w:pPr>
        <w:rPr>
          <w:rFonts w:ascii="Arial" w:hAnsi="Arial" w:cs="Arial"/>
          <w:color w:val="000000"/>
          <w:sz w:val="8"/>
          <w:szCs w:val="8"/>
        </w:rPr>
      </w:pPr>
      <w:bookmarkStart w:id="82" w:name="_DV_M80"/>
      <w:bookmarkEnd w:id="82"/>
      <w:r>
        <w:rPr>
          <w:rFonts w:ascii="Arial" w:hAnsi="Arial" w:cs="Arial"/>
          <w:color w:val="000000"/>
          <w:sz w:val="16"/>
          <w:szCs w:val="16"/>
        </w:rPr>
        <w:tab/>
      </w:r>
    </w:p>
    <w:tbl>
      <w:tblPr>
        <w:tblW w:w="10111" w:type="dxa"/>
        <w:tblLayout w:type="fixed"/>
        <w:tblLook w:val="0000" w:firstRow="0" w:lastRow="0" w:firstColumn="0" w:lastColumn="0" w:noHBand="0" w:noVBand="0"/>
      </w:tblPr>
      <w:tblGrid>
        <w:gridCol w:w="588"/>
        <w:gridCol w:w="3750"/>
        <w:gridCol w:w="2070"/>
        <w:gridCol w:w="2160"/>
        <w:gridCol w:w="42"/>
        <w:gridCol w:w="1484"/>
        <w:gridCol w:w="17"/>
      </w:tblGrid>
      <w:tr w:rsidR="00BB3B1F" w:rsidTr="00D221B7">
        <w:tc>
          <w:tcPr>
            <w:tcW w:w="588" w:type="dxa"/>
          </w:tcPr>
          <w:p w:rsidR="00BB3B1F" w:rsidRDefault="00BB3B1F" w:rsidP="00F65AEA">
            <w:pPr>
              <w:tabs>
                <w:tab w:val="left" w:pos="-720"/>
                <w:tab w:val="left" w:pos="360"/>
              </w:tabs>
              <w:spacing w:line="240" w:lineRule="atLeast"/>
              <w:ind w:left="360" w:hanging="360"/>
              <w:rPr>
                <w:rFonts w:ascii="Arial" w:hAnsi="Arial" w:cs="Arial"/>
                <w:b/>
                <w:bCs/>
                <w:color w:val="000000"/>
              </w:rPr>
            </w:pPr>
            <w:r>
              <w:rPr>
                <w:rFonts w:ascii="Arial" w:hAnsi="Arial" w:cs="Arial"/>
                <w:b/>
                <w:bCs/>
                <w:color w:val="000000"/>
              </w:rPr>
              <w:t>2.</w:t>
            </w:r>
          </w:p>
        </w:tc>
        <w:tc>
          <w:tcPr>
            <w:tcW w:w="5820" w:type="dxa"/>
            <w:gridSpan w:val="2"/>
          </w:tcPr>
          <w:p w:rsidR="00BB3B1F" w:rsidRDefault="00BB3B1F" w:rsidP="00F65AEA">
            <w:pPr>
              <w:tabs>
                <w:tab w:val="left" w:pos="-720"/>
              </w:tabs>
              <w:rPr>
                <w:rFonts w:ascii="Arial" w:hAnsi="Arial" w:cs="Arial"/>
                <w:b/>
                <w:bCs/>
                <w:color w:val="000000"/>
                <w:u w:val="single"/>
              </w:rPr>
            </w:pPr>
            <w:r>
              <w:rPr>
                <w:rFonts w:ascii="Arial" w:hAnsi="Arial" w:cs="Arial"/>
                <w:b/>
                <w:bCs/>
                <w:color w:val="000000"/>
                <w:u w:val="single"/>
              </w:rPr>
              <w:t>Collateralized Investments</w:t>
            </w:r>
          </w:p>
        </w:tc>
        <w:tc>
          <w:tcPr>
            <w:tcW w:w="2160" w:type="dxa"/>
          </w:tcPr>
          <w:p w:rsidR="00BB3B1F" w:rsidRDefault="00BB3B1F" w:rsidP="00F65AEA">
            <w:pPr>
              <w:tabs>
                <w:tab w:val="left" w:pos="-720"/>
              </w:tabs>
              <w:spacing w:before="240" w:line="240" w:lineRule="atLeast"/>
              <w:rPr>
                <w:rFonts w:ascii="Arial" w:hAnsi="Arial" w:cs="Arial"/>
                <w:b/>
                <w:bCs/>
                <w:color w:val="000000"/>
              </w:rPr>
            </w:pPr>
          </w:p>
        </w:tc>
        <w:tc>
          <w:tcPr>
            <w:tcW w:w="1543" w:type="dxa"/>
            <w:gridSpan w:val="3"/>
          </w:tcPr>
          <w:p w:rsidR="00BB3B1F" w:rsidRDefault="00BB3B1F" w:rsidP="00F65AEA">
            <w:pPr>
              <w:tabs>
                <w:tab w:val="left" w:pos="-720"/>
              </w:tabs>
              <w:spacing w:before="240" w:line="240" w:lineRule="atLeast"/>
              <w:jc w:val="center"/>
              <w:rPr>
                <w:rFonts w:ascii="Arial" w:hAnsi="Arial" w:cs="Arial"/>
                <w:color w:val="000000"/>
              </w:rPr>
            </w:pPr>
          </w:p>
        </w:tc>
      </w:tr>
      <w:tr w:rsidR="00BB3B1F" w:rsidTr="00D221B7">
        <w:tc>
          <w:tcPr>
            <w:tcW w:w="588" w:type="dxa"/>
          </w:tcPr>
          <w:p w:rsidR="00BB3B1F" w:rsidRDefault="00BB3B1F" w:rsidP="00F65AEA">
            <w:pPr>
              <w:tabs>
                <w:tab w:val="left" w:pos="-720"/>
                <w:tab w:val="left" w:pos="360"/>
              </w:tabs>
              <w:spacing w:before="240" w:line="240" w:lineRule="atLeast"/>
              <w:ind w:left="360" w:hanging="360"/>
              <w:rPr>
                <w:rFonts w:ascii="Arial" w:hAnsi="Arial" w:cs="Arial"/>
                <w:color w:val="000000"/>
              </w:rPr>
            </w:pPr>
          </w:p>
        </w:tc>
        <w:tc>
          <w:tcPr>
            <w:tcW w:w="3750" w:type="dxa"/>
          </w:tcPr>
          <w:p w:rsidR="00BB3B1F" w:rsidRDefault="00BB3B1F" w:rsidP="00F65AEA">
            <w:pPr>
              <w:tabs>
                <w:tab w:val="left" w:pos="-720"/>
              </w:tabs>
              <w:jc w:val="left"/>
              <w:rPr>
                <w:rFonts w:ascii="Arial" w:hAnsi="Arial" w:cs="Arial"/>
                <w:color w:val="000000"/>
              </w:rPr>
            </w:pPr>
            <w:r>
              <w:rPr>
                <w:rFonts w:ascii="Arial" w:hAnsi="Arial" w:cs="Arial"/>
                <w:color w:val="000000"/>
              </w:rPr>
              <w:t xml:space="preserve">Repurchase Agreements </w:t>
            </w:r>
          </w:p>
        </w:tc>
        <w:tc>
          <w:tcPr>
            <w:tcW w:w="2070" w:type="dxa"/>
          </w:tcPr>
          <w:p w:rsidR="00BB3B1F" w:rsidRDefault="00BB3B1F" w:rsidP="00F65AEA">
            <w:pPr>
              <w:tabs>
                <w:tab w:val="left" w:pos="-720"/>
              </w:tabs>
              <w:spacing w:after="120"/>
              <w:jc w:val="center"/>
              <w:rPr>
                <w:rFonts w:ascii="Arial" w:hAnsi="Arial" w:cs="Arial"/>
                <w:color w:val="000000"/>
              </w:rPr>
            </w:pPr>
            <w:r>
              <w:rPr>
                <w:rFonts w:ascii="Arial" w:hAnsi="Arial" w:cs="Arial"/>
                <w:color w:val="000000"/>
              </w:rPr>
              <w:t>2</w:t>
            </w:r>
            <w:r w:rsidR="00863BE1">
              <w:rPr>
                <w:rFonts w:ascii="Arial" w:hAnsi="Arial" w:cs="Arial"/>
                <w:color w:val="000000"/>
              </w:rPr>
              <w:t>0</w:t>
            </w:r>
            <w:r>
              <w:rPr>
                <w:rFonts w:ascii="Arial" w:hAnsi="Arial" w:cs="Arial"/>
                <w:color w:val="000000"/>
              </w:rPr>
              <w:t>% of total portfolio</w:t>
            </w:r>
          </w:p>
        </w:tc>
        <w:tc>
          <w:tcPr>
            <w:tcW w:w="2160" w:type="dxa"/>
          </w:tcPr>
          <w:p w:rsidR="00BB3B1F" w:rsidRDefault="00BB3B1F" w:rsidP="00F65AEA">
            <w:pPr>
              <w:tabs>
                <w:tab w:val="left" w:pos="-720"/>
              </w:tabs>
              <w:jc w:val="center"/>
              <w:rPr>
                <w:rFonts w:ascii="Arial" w:hAnsi="Arial" w:cs="Arial"/>
                <w:color w:val="000000"/>
              </w:rPr>
            </w:pPr>
            <w:r>
              <w:rPr>
                <w:rFonts w:ascii="Arial" w:hAnsi="Arial" w:cs="Arial"/>
                <w:color w:val="000000"/>
              </w:rPr>
              <w:t>NTE 7 days</w:t>
            </w:r>
          </w:p>
        </w:tc>
        <w:tc>
          <w:tcPr>
            <w:tcW w:w="1543" w:type="dxa"/>
            <w:gridSpan w:val="3"/>
          </w:tcPr>
          <w:p w:rsidR="00BB3B1F" w:rsidRDefault="00BB3B1F" w:rsidP="00F65AEA">
            <w:pPr>
              <w:tabs>
                <w:tab w:val="left" w:pos="-720"/>
              </w:tabs>
              <w:jc w:val="center"/>
              <w:rPr>
                <w:rFonts w:ascii="Arial" w:hAnsi="Arial" w:cs="Arial"/>
                <w:color w:val="000000"/>
              </w:rPr>
            </w:pPr>
            <w:r>
              <w:rPr>
                <w:rFonts w:ascii="Arial" w:hAnsi="Arial" w:cs="Arial"/>
                <w:color w:val="000000"/>
              </w:rPr>
              <w:t>Yes</w:t>
            </w:r>
          </w:p>
        </w:tc>
      </w:tr>
      <w:tr w:rsidR="00BB3B1F" w:rsidTr="00D221B7">
        <w:tc>
          <w:tcPr>
            <w:tcW w:w="588" w:type="dxa"/>
          </w:tcPr>
          <w:p w:rsidR="00BB3B1F" w:rsidRDefault="00BB3B1F" w:rsidP="00F65AEA">
            <w:pPr>
              <w:tabs>
                <w:tab w:val="left" w:pos="-720"/>
                <w:tab w:val="left" w:pos="360"/>
              </w:tabs>
              <w:spacing w:before="240" w:line="240" w:lineRule="atLeast"/>
              <w:ind w:left="360" w:hanging="360"/>
              <w:rPr>
                <w:rFonts w:ascii="Arial" w:hAnsi="Arial" w:cs="Arial"/>
                <w:color w:val="000000"/>
              </w:rPr>
            </w:pPr>
          </w:p>
        </w:tc>
        <w:tc>
          <w:tcPr>
            <w:tcW w:w="3750" w:type="dxa"/>
          </w:tcPr>
          <w:p w:rsidR="00BB3B1F" w:rsidRDefault="00BB3B1F" w:rsidP="00F65AEA">
            <w:pPr>
              <w:tabs>
                <w:tab w:val="left" w:pos="-720"/>
              </w:tabs>
              <w:jc w:val="left"/>
              <w:rPr>
                <w:rFonts w:ascii="Arial" w:hAnsi="Arial" w:cs="Arial"/>
                <w:color w:val="000000"/>
              </w:rPr>
            </w:pPr>
            <w:r>
              <w:rPr>
                <w:rFonts w:ascii="Arial" w:hAnsi="Arial" w:cs="Arial"/>
                <w:color w:val="000000"/>
              </w:rPr>
              <w:t>Time Deposits - Bank &amp; Savings Assoc.</w:t>
            </w:r>
          </w:p>
        </w:tc>
        <w:tc>
          <w:tcPr>
            <w:tcW w:w="2070" w:type="dxa"/>
          </w:tcPr>
          <w:p w:rsidR="00BB3B1F" w:rsidRPr="006A4A6E" w:rsidRDefault="006A4A6E" w:rsidP="00F65AEA">
            <w:pPr>
              <w:pStyle w:val="BodyText"/>
              <w:spacing w:before="0" w:line="240" w:lineRule="auto"/>
              <w:jc w:val="center"/>
              <w:rPr>
                <w:rFonts w:ascii="Arial" w:hAnsi="Arial" w:cs="Arial"/>
                <w:color w:val="000000"/>
                <w:sz w:val="22"/>
                <w:szCs w:val="22"/>
              </w:rPr>
            </w:pPr>
            <w:r>
              <w:rPr>
                <w:rFonts w:ascii="Arial" w:hAnsi="Arial" w:cs="Arial"/>
                <w:color w:val="000000"/>
                <w:sz w:val="22"/>
                <w:szCs w:val="22"/>
              </w:rPr>
              <w:t xml:space="preserve">Maximum guaranteed by FDIC </w:t>
            </w:r>
            <w:r w:rsidR="00BB3B1F" w:rsidRPr="006A4A6E">
              <w:rPr>
                <w:rFonts w:ascii="Arial" w:hAnsi="Arial" w:cs="Arial"/>
                <w:color w:val="000000"/>
                <w:sz w:val="22"/>
                <w:szCs w:val="22"/>
              </w:rPr>
              <w:t>per</w:t>
            </w:r>
          </w:p>
          <w:p w:rsidR="00BB3B1F" w:rsidRDefault="00B81B91" w:rsidP="00B81B91">
            <w:pPr>
              <w:tabs>
                <w:tab w:val="left" w:pos="-720"/>
              </w:tabs>
              <w:jc w:val="center"/>
              <w:rPr>
                <w:rFonts w:ascii="Arial" w:hAnsi="Arial" w:cs="Arial"/>
                <w:color w:val="000000"/>
              </w:rPr>
            </w:pPr>
            <w:r w:rsidRPr="006A4A6E">
              <w:rPr>
                <w:rFonts w:ascii="Arial" w:hAnsi="Arial" w:cs="Arial"/>
                <w:color w:val="000000"/>
                <w:sz w:val="22"/>
                <w:szCs w:val="22"/>
              </w:rPr>
              <w:t>I</w:t>
            </w:r>
            <w:r w:rsidR="00BB3B1F" w:rsidRPr="006A4A6E">
              <w:rPr>
                <w:rFonts w:ascii="Arial" w:hAnsi="Arial" w:cs="Arial"/>
                <w:color w:val="000000"/>
                <w:sz w:val="22"/>
                <w:szCs w:val="22"/>
              </w:rPr>
              <w:t>nstitution</w:t>
            </w:r>
            <w:r>
              <w:rPr>
                <w:rFonts w:ascii="Arial" w:hAnsi="Arial" w:cs="Arial"/>
                <w:color w:val="000000"/>
                <w:sz w:val="22"/>
                <w:szCs w:val="22"/>
              </w:rPr>
              <w:t>*</w:t>
            </w:r>
          </w:p>
        </w:tc>
        <w:tc>
          <w:tcPr>
            <w:tcW w:w="2160" w:type="dxa"/>
          </w:tcPr>
          <w:p w:rsidR="00BB3B1F" w:rsidRDefault="00BB3B1F" w:rsidP="00F65AEA">
            <w:pPr>
              <w:tabs>
                <w:tab w:val="left" w:pos="-720"/>
              </w:tabs>
              <w:jc w:val="center"/>
              <w:rPr>
                <w:rFonts w:ascii="Arial" w:hAnsi="Arial" w:cs="Arial"/>
                <w:color w:val="000000"/>
              </w:rPr>
            </w:pPr>
            <w:r>
              <w:rPr>
                <w:rFonts w:ascii="Arial" w:hAnsi="Arial" w:cs="Arial"/>
                <w:color w:val="000000"/>
              </w:rPr>
              <w:t>NTE 1 year</w:t>
            </w:r>
          </w:p>
        </w:tc>
        <w:tc>
          <w:tcPr>
            <w:tcW w:w="1543" w:type="dxa"/>
            <w:gridSpan w:val="3"/>
          </w:tcPr>
          <w:p w:rsidR="00BB3B1F" w:rsidRDefault="00BB3B1F" w:rsidP="00F65AEA">
            <w:pPr>
              <w:tabs>
                <w:tab w:val="left" w:pos="-720"/>
              </w:tabs>
              <w:jc w:val="center"/>
              <w:rPr>
                <w:rFonts w:ascii="Arial" w:hAnsi="Arial" w:cs="Arial"/>
                <w:color w:val="000000"/>
              </w:rPr>
            </w:pPr>
            <w:r>
              <w:rPr>
                <w:rFonts w:ascii="Arial" w:hAnsi="Arial" w:cs="Arial"/>
                <w:color w:val="000000"/>
              </w:rPr>
              <w:br/>
              <w:t>Yes</w:t>
            </w:r>
          </w:p>
        </w:tc>
      </w:tr>
      <w:tr w:rsidR="00BB3B1F" w:rsidTr="00D221B7">
        <w:tc>
          <w:tcPr>
            <w:tcW w:w="588" w:type="dxa"/>
          </w:tcPr>
          <w:p w:rsidR="00BB3B1F" w:rsidRDefault="00BB3B1F" w:rsidP="00F65AEA">
            <w:pPr>
              <w:tabs>
                <w:tab w:val="left" w:pos="-720"/>
                <w:tab w:val="left" w:pos="360"/>
              </w:tabs>
              <w:ind w:left="360" w:hanging="360"/>
              <w:jc w:val="left"/>
              <w:rPr>
                <w:rFonts w:ascii="Arial" w:hAnsi="Arial" w:cs="Arial"/>
                <w:b/>
                <w:bCs/>
                <w:color w:val="000000"/>
              </w:rPr>
            </w:pPr>
            <w:r>
              <w:rPr>
                <w:rFonts w:ascii="Arial" w:hAnsi="Arial" w:cs="Arial"/>
                <w:b/>
                <w:bCs/>
                <w:color w:val="000000"/>
              </w:rPr>
              <w:t>3.</w:t>
            </w:r>
          </w:p>
        </w:tc>
        <w:tc>
          <w:tcPr>
            <w:tcW w:w="9523" w:type="dxa"/>
            <w:gridSpan w:val="6"/>
          </w:tcPr>
          <w:p w:rsidR="00BB3B1F" w:rsidRDefault="00BB3B1F" w:rsidP="00F65AEA">
            <w:pPr>
              <w:tabs>
                <w:tab w:val="left" w:pos="-720"/>
              </w:tabs>
              <w:jc w:val="left"/>
              <w:rPr>
                <w:rFonts w:ascii="Arial" w:hAnsi="Arial" w:cs="Arial"/>
                <w:color w:val="000000"/>
              </w:rPr>
            </w:pPr>
            <w:r>
              <w:rPr>
                <w:rFonts w:ascii="Arial" w:hAnsi="Arial" w:cs="Arial"/>
                <w:b/>
                <w:bCs/>
                <w:color w:val="000000"/>
                <w:u w:val="single"/>
              </w:rPr>
              <w:t>Uncollateralized Instruments</w:t>
            </w:r>
            <w:r>
              <w:rPr>
                <w:rFonts w:ascii="Arial" w:hAnsi="Arial" w:cs="Arial"/>
                <w:color w:val="000000"/>
              </w:rPr>
              <w:t xml:space="preserve"> </w:t>
            </w:r>
          </w:p>
          <w:p w:rsidR="00BB3B1F" w:rsidRDefault="00BB3B1F" w:rsidP="00F65AEA">
            <w:pPr>
              <w:tabs>
                <w:tab w:val="left" w:pos="-720"/>
              </w:tabs>
              <w:jc w:val="left"/>
              <w:rPr>
                <w:rFonts w:ascii="Arial" w:hAnsi="Arial" w:cs="Arial"/>
                <w:color w:val="000000"/>
              </w:rPr>
            </w:pPr>
          </w:p>
        </w:tc>
      </w:tr>
      <w:tr w:rsidR="00BB3B1F" w:rsidTr="00D221B7">
        <w:tc>
          <w:tcPr>
            <w:tcW w:w="588" w:type="dxa"/>
          </w:tcPr>
          <w:p w:rsidR="00BB3B1F" w:rsidRDefault="00BB3B1F" w:rsidP="00F65AEA">
            <w:pPr>
              <w:tabs>
                <w:tab w:val="left" w:pos="-720"/>
                <w:tab w:val="left" w:pos="360"/>
              </w:tabs>
              <w:ind w:left="360" w:hanging="360"/>
              <w:jc w:val="left"/>
              <w:rPr>
                <w:rFonts w:ascii="Arial" w:hAnsi="Arial" w:cs="Arial"/>
                <w:b/>
                <w:bCs/>
                <w:color w:val="000000"/>
                <w:u w:val="single"/>
              </w:rPr>
            </w:pPr>
          </w:p>
        </w:tc>
        <w:tc>
          <w:tcPr>
            <w:tcW w:w="3750" w:type="dxa"/>
          </w:tcPr>
          <w:p w:rsidR="00BB3B1F" w:rsidRDefault="00BB3B1F" w:rsidP="00B81B91">
            <w:pPr>
              <w:tabs>
                <w:tab w:val="left" w:pos="-720"/>
              </w:tabs>
              <w:ind w:left="312" w:hanging="270"/>
              <w:jc w:val="left"/>
              <w:rPr>
                <w:rFonts w:ascii="Arial" w:hAnsi="Arial" w:cs="Arial"/>
                <w:color w:val="000000"/>
              </w:rPr>
            </w:pPr>
            <w:r>
              <w:rPr>
                <w:rFonts w:ascii="Arial" w:hAnsi="Arial" w:cs="Arial"/>
                <w:color w:val="000000"/>
              </w:rPr>
              <w:t xml:space="preserve">Negotiable Certificates of </w:t>
            </w:r>
            <w:r w:rsidR="00B81B91">
              <w:rPr>
                <w:rFonts w:ascii="Arial" w:hAnsi="Arial" w:cs="Arial"/>
                <w:color w:val="000000"/>
              </w:rPr>
              <w:t xml:space="preserve">  </w:t>
            </w:r>
            <w:r>
              <w:rPr>
                <w:rFonts w:ascii="Arial" w:hAnsi="Arial" w:cs="Arial"/>
                <w:color w:val="000000"/>
              </w:rPr>
              <w:t>Deposit</w:t>
            </w:r>
          </w:p>
        </w:tc>
        <w:tc>
          <w:tcPr>
            <w:tcW w:w="2070" w:type="dxa"/>
          </w:tcPr>
          <w:p w:rsidR="00BB3B1F" w:rsidRDefault="00BB3B1F" w:rsidP="00B81B91">
            <w:pPr>
              <w:tabs>
                <w:tab w:val="left" w:pos="-720"/>
              </w:tabs>
              <w:jc w:val="center"/>
              <w:rPr>
                <w:rFonts w:ascii="Arial" w:hAnsi="Arial" w:cs="Arial"/>
                <w:color w:val="000000"/>
              </w:rPr>
            </w:pPr>
            <w:r>
              <w:rPr>
                <w:rFonts w:ascii="Arial" w:hAnsi="Arial" w:cs="Arial"/>
                <w:color w:val="000000"/>
              </w:rPr>
              <w:t>30% of total portfolio</w:t>
            </w:r>
            <w:r w:rsidR="00B81B91">
              <w:rPr>
                <w:rFonts w:ascii="Arial" w:hAnsi="Arial" w:cs="Arial"/>
                <w:color w:val="000000"/>
                <w:sz w:val="16"/>
                <w:szCs w:val="16"/>
              </w:rPr>
              <w:t>*</w:t>
            </w:r>
          </w:p>
        </w:tc>
        <w:tc>
          <w:tcPr>
            <w:tcW w:w="2202" w:type="dxa"/>
            <w:gridSpan w:val="2"/>
          </w:tcPr>
          <w:p w:rsidR="00BB3B1F" w:rsidRDefault="00BB3B1F" w:rsidP="00F65AEA">
            <w:pPr>
              <w:tabs>
                <w:tab w:val="left" w:pos="-720"/>
              </w:tabs>
              <w:jc w:val="center"/>
              <w:rPr>
                <w:rFonts w:ascii="Arial" w:hAnsi="Arial" w:cs="Arial"/>
                <w:color w:val="000000"/>
              </w:rPr>
            </w:pPr>
            <w:r>
              <w:rPr>
                <w:rFonts w:ascii="Arial" w:hAnsi="Arial" w:cs="Arial"/>
                <w:color w:val="000000"/>
              </w:rPr>
              <w:t>NTE 36 months</w:t>
            </w:r>
          </w:p>
          <w:p w:rsidR="00BB3B1F" w:rsidRDefault="00BB3B1F" w:rsidP="00F65AEA">
            <w:pPr>
              <w:jc w:val="center"/>
              <w:rPr>
                <w:color w:val="000000"/>
              </w:rPr>
            </w:pPr>
          </w:p>
        </w:tc>
        <w:tc>
          <w:tcPr>
            <w:tcW w:w="1501" w:type="dxa"/>
            <w:gridSpan w:val="2"/>
          </w:tcPr>
          <w:p w:rsidR="00BB3B1F" w:rsidRDefault="00BB3B1F" w:rsidP="00F65AEA">
            <w:pPr>
              <w:tabs>
                <w:tab w:val="left" w:pos="-720"/>
              </w:tabs>
              <w:spacing w:before="240"/>
              <w:jc w:val="center"/>
              <w:rPr>
                <w:rFonts w:ascii="Arial" w:hAnsi="Arial" w:cs="Arial"/>
                <w:color w:val="000000"/>
              </w:rPr>
            </w:pPr>
            <w:r>
              <w:rPr>
                <w:rFonts w:ascii="Arial" w:hAnsi="Arial" w:cs="Arial"/>
                <w:color w:val="000000"/>
              </w:rPr>
              <w:t>Yes</w:t>
            </w:r>
          </w:p>
        </w:tc>
      </w:tr>
      <w:tr w:rsidR="00BB3B1F" w:rsidTr="00D221B7">
        <w:trPr>
          <w:cantSplit/>
        </w:trPr>
        <w:tc>
          <w:tcPr>
            <w:tcW w:w="588" w:type="dxa"/>
          </w:tcPr>
          <w:p w:rsidR="00BB3B1F" w:rsidRDefault="00BB3B1F" w:rsidP="00F65AEA">
            <w:pPr>
              <w:tabs>
                <w:tab w:val="left" w:pos="-720"/>
                <w:tab w:val="left" w:pos="360"/>
              </w:tabs>
              <w:spacing w:before="120"/>
              <w:ind w:left="360" w:hanging="360"/>
              <w:jc w:val="left"/>
              <w:rPr>
                <w:rFonts w:ascii="Arial" w:hAnsi="Arial" w:cs="Arial"/>
                <w:color w:val="000000"/>
              </w:rPr>
            </w:pPr>
          </w:p>
        </w:tc>
        <w:tc>
          <w:tcPr>
            <w:tcW w:w="3750" w:type="dxa"/>
          </w:tcPr>
          <w:p w:rsidR="000C128F" w:rsidRDefault="00BB3B1F" w:rsidP="00B81B91">
            <w:pPr>
              <w:tabs>
                <w:tab w:val="left" w:pos="-720"/>
              </w:tabs>
              <w:spacing w:before="120"/>
              <w:jc w:val="left"/>
              <w:rPr>
                <w:rFonts w:ascii="Arial" w:hAnsi="Arial" w:cs="Arial"/>
                <w:color w:val="000000"/>
              </w:rPr>
            </w:pPr>
            <w:r>
              <w:rPr>
                <w:rFonts w:ascii="Arial" w:hAnsi="Arial" w:cs="Arial"/>
                <w:color w:val="000000"/>
              </w:rPr>
              <w:t xml:space="preserve">Medium Term Notes </w:t>
            </w:r>
            <w:r w:rsidR="000C128F">
              <w:rPr>
                <w:rFonts w:ascii="Arial" w:hAnsi="Arial" w:cs="Arial"/>
                <w:color w:val="000000"/>
              </w:rPr>
              <w:t>and</w:t>
            </w:r>
          </w:p>
          <w:p w:rsidR="00BB3B1F" w:rsidRDefault="000C128F" w:rsidP="00B81B91">
            <w:pPr>
              <w:tabs>
                <w:tab w:val="left" w:pos="-720"/>
              </w:tabs>
              <w:spacing w:before="120"/>
              <w:jc w:val="left"/>
              <w:rPr>
                <w:rFonts w:ascii="Arial" w:hAnsi="Arial" w:cs="Arial"/>
                <w:b/>
                <w:bCs/>
                <w:color w:val="000000"/>
                <w:position w:val="6"/>
                <w:sz w:val="16"/>
                <w:szCs w:val="16"/>
              </w:rPr>
            </w:pPr>
            <w:r>
              <w:rPr>
                <w:rFonts w:ascii="Arial" w:hAnsi="Arial" w:cs="Arial"/>
                <w:color w:val="000000"/>
              </w:rPr>
              <w:t xml:space="preserve">     Corporate Bonds</w:t>
            </w:r>
            <w:r w:rsidR="00BB3B1F">
              <w:rPr>
                <w:rFonts w:ascii="Arial" w:hAnsi="Arial" w:cs="Arial"/>
                <w:b/>
                <w:bCs/>
                <w:color w:val="000000"/>
                <w:position w:val="6"/>
                <w:sz w:val="16"/>
                <w:szCs w:val="16"/>
              </w:rPr>
              <w:t xml:space="preserve"> </w:t>
            </w:r>
          </w:p>
        </w:tc>
        <w:tc>
          <w:tcPr>
            <w:tcW w:w="2070" w:type="dxa"/>
            <w:vMerge w:val="restart"/>
            <w:vAlign w:val="center"/>
          </w:tcPr>
          <w:p w:rsidR="00BB3B1F" w:rsidRDefault="00ED4F45" w:rsidP="00B81B91">
            <w:pPr>
              <w:tabs>
                <w:tab w:val="left" w:pos="-720"/>
              </w:tabs>
              <w:jc w:val="center"/>
              <w:rPr>
                <w:rFonts w:ascii="Arial" w:hAnsi="Arial" w:cs="Arial"/>
                <w:color w:val="000000"/>
                <w:vertAlign w:val="superscript"/>
              </w:rPr>
            </w:pPr>
            <w:r>
              <w:rPr>
                <w:rFonts w:ascii="Arial" w:hAnsi="Arial" w:cs="Arial"/>
                <w:color w:val="000000"/>
              </w:rPr>
              <w:t>30</w:t>
            </w:r>
            <w:r w:rsidR="00BB3B1F">
              <w:rPr>
                <w:rFonts w:ascii="Arial" w:hAnsi="Arial" w:cs="Arial"/>
                <w:color w:val="000000"/>
              </w:rPr>
              <w:t>% of total portfolio</w:t>
            </w:r>
            <w:r w:rsidR="00B81B91">
              <w:rPr>
                <w:rFonts w:ascii="Arial" w:hAnsi="Arial" w:cs="Arial"/>
                <w:color w:val="000000"/>
                <w:vertAlign w:val="superscript"/>
              </w:rPr>
              <w:t>**</w:t>
            </w:r>
          </w:p>
        </w:tc>
        <w:tc>
          <w:tcPr>
            <w:tcW w:w="2202" w:type="dxa"/>
            <w:gridSpan w:val="2"/>
          </w:tcPr>
          <w:p w:rsidR="000C128F" w:rsidRDefault="000C128F" w:rsidP="00F65AEA">
            <w:pPr>
              <w:tabs>
                <w:tab w:val="left" w:pos="-720"/>
              </w:tabs>
              <w:spacing w:before="120"/>
              <w:jc w:val="center"/>
              <w:rPr>
                <w:rFonts w:ascii="Arial" w:hAnsi="Arial" w:cs="Arial"/>
                <w:color w:val="000000"/>
              </w:rPr>
            </w:pPr>
          </w:p>
          <w:p w:rsidR="00BB3B1F" w:rsidRDefault="00BB3B1F" w:rsidP="00F65AEA">
            <w:pPr>
              <w:tabs>
                <w:tab w:val="left" w:pos="-720"/>
              </w:tabs>
              <w:spacing w:before="120"/>
              <w:jc w:val="center"/>
              <w:rPr>
                <w:rFonts w:ascii="Arial" w:hAnsi="Arial" w:cs="Arial"/>
                <w:color w:val="000000"/>
              </w:rPr>
            </w:pPr>
            <w:r>
              <w:rPr>
                <w:rFonts w:ascii="Arial" w:hAnsi="Arial" w:cs="Arial"/>
                <w:color w:val="000000"/>
              </w:rPr>
              <w:t>NTE 5 years</w:t>
            </w:r>
          </w:p>
        </w:tc>
        <w:tc>
          <w:tcPr>
            <w:tcW w:w="1501" w:type="dxa"/>
            <w:gridSpan w:val="2"/>
          </w:tcPr>
          <w:p w:rsidR="000C128F" w:rsidRDefault="000C128F" w:rsidP="00F65AEA">
            <w:pPr>
              <w:tabs>
                <w:tab w:val="left" w:pos="-720"/>
              </w:tabs>
              <w:spacing w:before="120"/>
              <w:jc w:val="center"/>
              <w:rPr>
                <w:rFonts w:ascii="Arial" w:hAnsi="Arial" w:cs="Arial"/>
                <w:color w:val="000000"/>
              </w:rPr>
            </w:pPr>
          </w:p>
          <w:p w:rsidR="00BB3B1F" w:rsidRDefault="00BB3B1F" w:rsidP="00F65AEA">
            <w:pPr>
              <w:tabs>
                <w:tab w:val="left" w:pos="-720"/>
              </w:tabs>
              <w:spacing w:before="120"/>
              <w:jc w:val="center"/>
              <w:rPr>
                <w:rFonts w:ascii="Arial" w:hAnsi="Arial" w:cs="Arial"/>
                <w:color w:val="000000"/>
              </w:rPr>
            </w:pPr>
            <w:r>
              <w:rPr>
                <w:rFonts w:ascii="Arial" w:hAnsi="Arial" w:cs="Arial"/>
                <w:color w:val="000000"/>
              </w:rPr>
              <w:t>Yes</w:t>
            </w:r>
          </w:p>
        </w:tc>
      </w:tr>
      <w:tr w:rsidR="00BB3B1F" w:rsidRPr="0077615A" w:rsidTr="00D221B7">
        <w:trPr>
          <w:cantSplit/>
        </w:trPr>
        <w:tc>
          <w:tcPr>
            <w:tcW w:w="588" w:type="dxa"/>
          </w:tcPr>
          <w:p w:rsidR="00BB3B1F" w:rsidRPr="0077615A" w:rsidRDefault="00BB3B1F" w:rsidP="00F65AEA">
            <w:pPr>
              <w:tabs>
                <w:tab w:val="left" w:pos="-720"/>
                <w:tab w:val="left" w:pos="360"/>
              </w:tabs>
              <w:ind w:left="360" w:hanging="360"/>
              <w:jc w:val="left"/>
              <w:rPr>
                <w:rFonts w:ascii="Arial" w:hAnsi="Arial" w:cs="Arial"/>
                <w:color w:val="000000"/>
                <w:sz w:val="12"/>
                <w:szCs w:val="12"/>
              </w:rPr>
            </w:pPr>
          </w:p>
        </w:tc>
        <w:tc>
          <w:tcPr>
            <w:tcW w:w="3750" w:type="dxa"/>
          </w:tcPr>
          <w:p w:rsidR="00BB3B1F" w:rsidRPr="0077615A" w:rsidRDefault="00BB3B1F" w:rsidP="00F65AEA">
            <w:pPr>
              <w:tabs>
                <w:tab w:val="left" w:pos="-720"/>
              </w:tabs>
              <w:spacing w:before="120"/>
              <w:jc w:val="left"/>
              <w:rPr>
                <w:rFonts w:ascii="Arial" w:hAnsi="Arial" w:cs="Arial"/>
                <w:b/>
                <w:bCs/>
                <w:color w:val="000000"/>
                <w:position w:val="6"/>
                <w:sz w:val="12"/>
                <w:szCs w:val="12"/>
              </w:rPr>
            </w:pPr>
          </w:p>
        </w:tc>
        <w:tc>
          <w:tcPr>
            <w:tcW w:w="2070" w:type="dxa"/>
            <w:vMerge/>
            <w:vAlign w:val="bottom"/>
          </w:tcPr>
          <w:p w:rsidR="00BB3B1F" w:rsidRPr="0077615A" w:rsidRDefault="00BB3B1F" w:rsidP="00F65AEA">
            <w:pPr>
              <w:tabs>
                <w:tab w:val="left" w:pos="-720"/>
              </w:tabs>
              <w:spacing w:before="120"/>
              <w:jc w:val="left"/>
              <w:rPr>
                <w:rFonts w:ascii="Arial" w:hAnsi="Arial" w:cs="Arial"/>
                <w:b/>
                <w:bCs/>
                <w:color w:val="000000"/>
                <w:position w:val="6"/>
                <w:sz w:val="12"/>
                <w:szCs w:val="12"/>
              </w:rPr>
            </w:pPr>
          </w:p>
        </w:tc>
        <w:tc>
          <w:tcPr>
            <w:tcW w:w="2202" w:type="dxa"/>
            <w:gridSpan w:val="2"/>
          </w:tcPr>
          <w:p w:rsidR="00BB3B1F" w:rsidRPr="0077615A" w:rsidRDefault="00BB3B1F" w:rsidP="00F65AEA">
            <w:pPr>
              <w:tabs>
                <w:tab w:val="left" w:pos="-720"/>
              </w:tabs>
              <w:spacing w:before="120"/>
              <w:jc w:val="center"/>
              <w:rPr>
                <w:rFonts w:ascii="Arial" w:hAnsi="Arial" w:cs="Arial"/>
                <w:color w:val="000000"/>
                <w:sz w:val="12"/>
                <w:szCs w:val="12"/>
              </w:rPr>
            </w:pPr>
          </w:p>
        </w:tc>
        <w:tc>
          <w:tcPr>
            <w:tcW w:w="1501" w:type="dxa"/>
            <w:gridSpan w:val="2"/>
          </w:tcPr>
          <w:p w:rsidR="00BB3B1F" w:rsidRPr="0077615A" w:rsidRDefault="00BB3B1F" w:rsidP="00F65AEA">
            <w:pPr>
              <w:tabs>
                <w:tab w:val="left" w:pos="-720"/>
              </w:tabs>
              <w:spacing w:before="120"/>
              <w:jc w:val="center"/>
              <w:rPr>
                <w:rFonts w:ascii="Arial" w:hAnsi="Arial" w:cs="Arial"/>
                <w:color w:val="000000"/>
                <w:sz w:val="12"/>
                <w:szCs w:val="12"/>
              </w:rPr>
            </w:pPr>
          </w:p>
        </w:tc>
      </w:tr>
      <w:tr w:rsidR="00BB3B1F" w:rsidTr="00D221B7">
        <w:tc>
          <w:tcPr>
            <w:tcW w:w="588" w:type="dxa"/>
          </w:tcPr>
          <w:p w:rsidR="00BB3B1F" w:rsidRDefault="00BB3B1F" w:rsidP="00F65AEA">
            <w:pPr>
              <w:tabs>
                <w:tab w:val="left" w:pos="-720"/>
                <w:tab w:val="left" w:pos="360"/>
              </w:tabs>
              <w:ind w:left="360" w:hanging="360"/>
              <w:jc w:val="left"/>
              <w:rPr>
                <w:rFonts w:ascii="Arial" w:hAnsi="Arial" w:cs="Arial"/>
                <w:color w:val="000000"/>
              </w:rPr>
            </w:pPr>
          </w:p>
        </w:tc>
        <w:tc>
          <w:tcPr>
            <w:tcW w:w="3750" w:type="dxa"/>
          </w:tcPr>
          <w:p w:rsidR="00BB3B1F" w:rsidRDefault="00BB3B1F" w:rsidP="00F65AEA">
            <w:pPr>
              <w:tabs>
                <w:tab w:val="left" w:pos="-720"/>
              </w:tabs>
              <w:spacing w:before="120"/>
              <w:jc w:val="left"/>
              <w:rPr>
                <w:rFonts w:ascii="Arial" w:hAnsi="Arial" w:cs="Arial"/>
                <w:b/>
                <w:bCs/>
                <w:color w:val="000000"/>
                <w:position w:val="6"/>
                <w:sz w:val="16"/>
                <w:szCs w:val="16"/>
              </w:rPr>
            </w:pPr>
            <w:r>
              <w:rPr>
                <w:rFonts w:ascii="Arial" w:hAnsi="Arial" w:cs="Arial"/>
                <w:color w:val="000000"/>
              </w:rPr>
              <w:t xml:space="preserve">Commercial Paper </w:t>
            </w:r>
            <w:r>
              <w:rPr>
                <w:rFonts w:ascii="Arial" w:hAnsi="Arial" w:cs="Arial"/>
                <w:b/>
                <w:bCs/>
                <w:color w:val="000000"/>
                <w:position w:val="6"/>
                <w:sz w:val="16"/>
                <w:szCs w:val="16"/>
              </w:rPr>
              <w:t xml:space="preserve"> </w:t>
            </w:r>
          </w:p>
        </w:tc>
        <w:tc>
          <w:tcPr>
            <w:tcW w:w="2070" w:type="dxa"/>
            <w:vAlign w:val="bottom"/>
          </w:tcPr>
          <w:p w:rsidR="00BB3B1F" w:rsidRDefault="00BB3B1F" w:rsidP="00F65AEA">
            <w:pPr>
              <w:tabs>
                <w:tab w:val="left" w:pos="-720"/>
              </w:tabs>
              <w:jc w:val="center"/>
              <w:rPr>
                <w:rFonts w:ascii="Arial" w:hAnsi="Arial" w:cs="Arial"/>
                <w:color w:val="000000"/>
              </w:rPr>
            </w:pPr>
            <w:r>
              <w:rPr>
                <w:rFonts w:ascii="Arial" w:hAnsi="Arial" w:cs="Arial"/>
                <w:color w:val="000000"/>
              </w:rPr>
              <w:t>25% of total portfolio</w:t>
            </w:r>
          </w:p>
        </w:tc>
        <w:tc>
          <w:tcPr>
            <w:tcW w:w="2202" w:type="dxa"/>
            <w:gridSpan w:val="2"/>
          </w:tcPr>
          <w:p w:rsidR="00BB3B1F" w:rsidRDefault="00BB3B1F" w:rsidP="00F65AEA">
            <w:pPr>
              <w:tabs>
                <w:tab w:val="left" w:pos="-720"/>
              </w:tabs>
              <w:spacing w:before="120"/>
              <w:jc w:val="center"/>
              <w:rPr>
                <w:rFonts w:ascii="Arial" w:hAnsi="Arial" w:cs="Arial"/>
                <w:color w:val="000000"/>
              </w:rPr>
            </w:pPr>
            <w:r>
              <w:rPr>
                <w:rFonts w:ascii="Arial" w:hAnsi="Arial" w:cs="Arial"/>
                <w:color w:val="000000"/>
              </w:rPr>
              <w:t>NTE 270 days</w:t>
            </w:r>
          </w:p>
        </w:tc>
        <w:tc>
          <w:tcPr>
            <w:tcW w:w="1501" w:type="dxa"/>
            <w:gridSpan w:val="2"/>
          </w:tcPr>
          <w:p w:rsidR="00BB3B1F" w:rsidRDefault="00BB3B1F" w:rsidP="00F65AEA">
            <w:pPr>
              <w:tabs>
                <w:tab w:val="left" w:pos="-720"/>
              </w:tabs>
              <w:spacing w:before="120"/>
              <w:jc w:val="center"/>
              <w:rPr>
                <w:rFonts w:ascii="Arial" w:hAnsi="Arial" w:cs="Arial"/>
                <w:color w:val="000000"/>
              </w:rPr>
            </w:pPr>
            <w:r>
              <w:rPr>
                <w:rFonts w:ascii="Arial" w:hAnsi="Arial" w:cs="Arial"/>
                <w:color w:val="000000"/>
              </w:rPr>
              <w:t>Yes</w:t>
            </w:r>
          </w:p>
        </w:tc>
      </w:tr>
      <w:tr w:rsidR="00BB3B1F" w:rsidTr="00D221B7">
        <w:trPr>
          <w:trHeight w:val="405"/>
        </w:trPr>
        <w:tc>
          <w:tcPr>
            <w:tcW w:w="588" w:type="dxa"/>
          </w:tcPr>
          <w:p w:rsidR="00BB3B1F" w:rsidRDefault="00BB3B1F" w:rsidP="00F65AEA">
            <w:pPr>
              <w:tabs>
                <w:tab w:val="left" w:pos="-720"/>
                <w:tab w:val="left" w:pos="360"/>
              </w:tabs>
              <w:ind w:left="360" w:hanging="360"/>
              <w:jc w:val="left"/>
              <w:rPr>
                <w:rFonts w:ascii="Arial" w:hAnsi="Arial" w:cs="Arial"/>
                <w:color w:val="000000"/>
              </w:rPr>
            </w:pPr>
          </w:p>
        </w:tc>
        <w:tc>
          <w:tcPr>
            <w:tcW w:w="3750" w:type="dxa"/>
            <w:tcBorders>
              <w:bottom w:val="single" w:sz="4" w:space="0" w:color="auto"/>
            </w:tcBorders>
            <w:vAlign w:val="bottom"/>
          </w:tcPr>
          <w:p w:rsidR="00BB3B1F" w:rsidRDefault="00BB3B1F" w:rsidP="00F65AEA">
            <w:pPr>
              <w:tabs>
                <w:tab w:val="left" w:pos="-720"/>
              </w:tabs>
              <w:jc w:val="left"/>
              <w:rPr>
                <w:rFonts w:ascii="Arial" w:hAnsi="Arial" w:cs="Arial"/>
                <w:color w:val="000000"/>
              </w:rPr>
            </w:pPr>
            <w:r>
              <w:rPr>
                <w:rFonts w:ascii="Arial" w:hAnsi="Arial" w:cs="Arial"/>
                <w:color w:val="000000"/>
              </w:rPr>
              <w:t>Bankers Acceptances</w:t>
            </w:r>
          </w:p>
        </w:tc>
        <w:tc>
          <w:tcPr>
            <w:tcW w:w="2070" w:type="dxa"/>
            <w:vAlign w:val="bottom"/>
          </w:tcPr>
          <w:p w:rsidR="00BB3B1F" w:rsidRDefault="00BB3B1F" w:rsidP="00F65AEA">
            <w:pPr>
              <w:tabs>
                <w:tab w:val="left" w:pos="-720"/>
              </w:tabs>
              <w:jc w:val="center"/>
              <w:rPr>
                <w:rFonts w:ascii="Arial" w:hAnsi="Arial" w:cs="Arial"/>
                <w:color w:val="000000"/>
              </w:rPr>
            </w:pPr>
            <w:r>
              <w:rPr>
                <w:rFonts w:ascii="Arial" w:hAnsi="Arial" w:cs="Arial"/>
                <w:color w:val="000000"/>
              </w:rPr>
              <w:t>NTE 15%</w:t>
            </w:r>
          </w:p>
        </w:tc>
        <w:tc>
          <w:tcPr>
            <w:tcW w:w="2202" w:type="dxa"/>
            <w:gridSpan w:val="2"/>
            <w:vAlign w:val="bottom"/>
          </w:tcPr>
          <w:p w:rsidR="00BB3B1F" w:rsidRDefault="00BB3B1F" w:rsidP="00F65AEA">
            <w:pPr>
              <w:tabs>
                <w:tab w:val="left" w:pos="-720"/>
              </w:tabs>
              <w:jc w:val="center"/>
              <w:rPr>
                <w:rFonts w:ascii="Arial" w:hAnsi="Arial" w:cs="Arial"/>
                <w:color w:val="000000"/>
              </w:rPr>
            </w:pPr>
            <w:r>
              <w:rPr>
                <w:rFonts w:ascii="Arial" w:hAnsi="Arial" w:cs="Arial"/>
                <w:color w:val="000000"/>
              </w:rPr>
              <w:t>NTE 180 days</w:t>
            </w:r>
          </w:p>
        </w:tc>
        <w:tc>
          <w:tcPr>
            <w:tcW w:w="1501" w:type="dxa"/>
            <w:gridSpan w:val="2"/>
            <w:vAlign w:val="bottom"/>
          </w:tcPr>
          <w:p w:rsidR="00BB3B1F" w:rsidRDefault="00BB3B1F" w:rsidP="00F65AEA">
            <w:pPr>
              <w:tabs>
                <w:tab w:val="left" w:pos="-720"/>
              </w:tabs>
              <w:jc w:val="center"/>
              <w:rPr>
                <w:rFonts w:ascii="Arial" w:hAnsi="Arial" w:cs="Arial"/>
                <w:color w:val="000000"/>
              </w:rPr>
            </w:pPr>
            <w:r>
              <w:rPr>
                <w:rFonts w:ascii="Arial" w:hAnsi="Arial" w:cs="Arial"/>
                <w:color w:val="000000"/>
              </w:rPr>
              <w:t>Yes</w:t>
            </w:r>
          </w:p>
        </w:tc>
      </w:tr>
      <w:tr w:rsidR="00BB3B1F" w:rsidTr="00D221B7">
        <w:trPr>
          <w:trHeight w:val="279"/>
        </w:trPr>
        <w:tc>
          <w:tcPr>
            <w:tcW w:w="10111" w:type="dxa"/>
            <w:gridSpan w:val="7"/>
            <w:vAlign w:val="bottom"/>
          </w:tcPr>
          <w:p w:rsidR="00B81B91" w:rsidRDefault="00BB3B1F" w:rsidP="00F65AEA">
            <w:pPr>
              <w:tabs>
                <w:tab w:val="left" w:pos="-720"/>
              </w:tabs>
              <w:jc w:val="left"/>
              <w:rPr>
                <w:rFonts w:ascii="Arial" w:hAnsi="Arial" w:cs="Arial"/>
                <w:color w:val="000000"/>
                <w:sz w:val="16"/>
                <w:szCs w:val="16"/>
              </w:rPr>
            </w:pPr>
            <w:r>
              <w:rPr>
                <w:rFonts w:ascii="Arial" w:hAnsi="Arial" w:cs="Arial"/>
                <w:color w:val="000000"/>
                <w:sz w:val="16"/>
                <w:szCs w:val="16"/>
              </w:rPr>
              <w:t xml:space="preserve"> </w:t>
            </w:r>
            <w:r w:rsidR="00B81B91">
              <w:rPr>
                <w:rFonts w:ascii="Arial" w:hAnsi="Arial" w:cs="Arial"/>
                <w:color w:val="000000"/>
                <w:sz w:val="16"/>
                <w:szCs w:val="16"/>
              </w:rPr>
              <w:t>*Percent Limit (30% of total portfolio) is a collective limit for Time Deposits &amp; Negotiable Certificates of Deposits.</w:t>
            </w:r>
            <w:r>
              <w:rPr>
                <w:rFonts w:ascii="Arial" w:hAnsi="Arial" w:cs="Arial"/>
                <w:color w:val="000000"/>
                <w:sz w:val="16"/>
                <w:szCs w:val="16"/>
              </w:rPr>
              <w:t xml:space="preserve">        </w:t>
            </w:r>
          </w:p>
          <w:p w:rsidR="00BB3B1F" w:rsidRDefault="00BB3B1F" w:rsidP="00F65AEA">
            <w:pPr>
              <w:tabs>
                <w:tab w:val="left" w:pos="-720"/>
              </w:tabs>
              <w:jc w:val="left"/>
              <w:rPr>
                <w:rFonts w:ascii="Arial" w:hAnsi="Arial" w:cs="Arial"/>
                <w:color w:val="000000"/>
                <w:sz w:val="16"/>
                <w:szCs w:val="16"/>
              </w:rPr>
            </w:pPr>
            <w:r>
              <w:rPr>
                <w:rFonts w:ascii="Arial" w:hAnsi="Arial" w:cs="Arial"/>
                <w:color w:val="000000"/>
                <w:sz w:val="16"/>
                <w:szCs w:val="16"/>
              </w:rPr>
              <w:t xml:space="preserve">  *</w:t>
            </w:r>
            <w:r w:rsidR="00B81B91">
              <w:rPr>
                <w:rFonts w:ascii="Arial" w:hAnsi="Arial" w:cs="Arial"/>
                <w:color w:val="000000"/>
                <w:sz w:val="16"/>
                <w:szCs w:val="16"/>
              </w:rPr>
              <w:t>*</w:t>
            </w:r>
            <w:r>
              <w:rPr>
                <w:rFonts w:ascii="Arial" w:hAnsi="Arial" w:cs="Arial"/>
                <w:color w:val="000000"/>
                <w:sz w:val="16"/>
                <w:szCs w:val="16"/>
              </w:rPr>
              <w:t xml:space="preserve">Percent Limit is a collective limit as to Medium Term Notes &amp; Corporate Bonds, which are governed by Gov. Code Sec. 53601(k). </w:t>
            </w:r>
          </w:p>
        </w:tc>
      </w:tr>
      <w:tr w:rsidR="00BB3B1F" w:rsidTr="00D221B7">
        <w:trPr>
          <w:gridAfter w:val="1"/>
          <w:wAfter w:w="17" w:type="dxa"/>
          <w:trHeight w:val="549"/>
        </w:trPr>
        <w:tc>
          <w:tcPr>
            <w:tcW w:w="588" w:type="dxa"/>
          </w:tcPr>
          <w:p w:rsidR="00BB3B1F" w:rsidRDefault="00BB3B1F" w:rsidP="00F65AEA">
            <w:pPr>
              <w:tabs>
                <w:tab w:val="left" w:pos="-720"/>
                <w:tab w:val="left" w:pos="360"/>
              </w:tabs>
              <w:ind w:left="360" w:hanging="360"/>
              <w:jc w:val="left"/>
              <w:rPr>
                <w:rFonts w:ascii="Arial" w:hAnsi="Arial" w:cs="Arial"/>
                <w:b/>
                <w:bCs/>
                <w:color w:val="000000"/>
              </w:rPr>
            </w:pPr>
          </w:p>
          <w:p w:rsidR="00BB3B1F" w:rsidRDefault="00BB3B1F" w:rsidP="00F65AEA">
            <w:pPr>
              <w:tabs>
                <w:tab w:val="left" w:pos="-720"/>
                <w:tab w:val="left" w:pos="360"/>
              </w:tabs>
              <w:ind w:left="360" w:hanging="360"/>
              <w:jc w:val="left"/>
              <w:rPr>
                <w:rFonts w:ascii="Arial" w:hAnsi="Arial" w:cs="Arial"/>
                <w:b/>
                <w:bCs/>
                <w:color w:val="000000"/>
              </w:rPr>
            </w:pPr>
            <w:r>
              <w:rPr>
                <w:rFonts w:ascii="Arial" w:hAnsi="Arial" w:cs="Arial"/>
                <w:b/>
                <w:bCs/>
                <w:color w:val="000000"/>
              </w:rPr>
              <w:t>4.</w:t>
            </w:r>
          </w:p>
          <w:p w:rsidR="00BB3B1F" w:rsidRDefault="00BB3B1F" w:rsidP="00F65AEA">
            <w:pPr>
              <w:tabs>
                <w:tab w:val="left" w:pos="-720"/>
                <w:tab w:val="left" w:pos="360"/>
              </w:tabs>
              <w:ind w:left="360" w:hanging="360"/>
              <w:jc w:val="left"/>
              <w:rPr>
                <w:rFonts w:ascii="Arial" w:hAnsi="Arial" w:cs="Arial"/>
                <w:b/>
                <w:bCs/>
                <w:color w:val="000000"/>
              </w:rPr>
            </w:pPr>
          </w:p>
        </w:tc>
        <w:tc>
          <w:tcPr>
            <w:tcW w:w="3750" w:type="dxa"/>
            <w:vAlign w:val="center"/>
          </w:tcPr>
          <w:p w:rsidR="00BB3B1F" w:rsidRDefault="00BB3B1F" w:rsidP="00F65AEA">
            <w:pPr>
              <w:tabs>
                <w:tab w:val="left" w:pos="-720"/>
                <w:tab w:val="left" w:pos="360"/>
              </w:tabs>
              <w:ind w:left="360" w:hanging="360"/>
              <w:jc w:val="left"/>
              <w:rPr>
                <w:rFonts w:ascii="Arial" w:hAnsi="Arial" w:cs="Arial"/>
                <w:b/>
                <w:bCs/>
                <w:color w:val="000000"/>
                <w:u w:val="single"/>
              </w:rPr>
            </w:pPr>
            <w:r>
              <w:rPr>
                <w:rFonts w:ascii="Arial" w:hAnsi="Arial" w:cs="Arial"/>
                <w:b/>
                <w:bCs/>
                <w:color w:val="000000"/>
                <w:u w:val="single"/>
              </w:rPr>
              <w:t>Other Instruments</w:t>
            </w:r>
          </w:p>
        </w:tc>
        <w:tc>
          <w:tcPr>
            <w:tcW w:w="2070" w:type="dxa"/>
            <w:vAlign w:val="bottom"/>
          </w:tcPr>
          <w:p w:rsidR="00BB3B1F" w:rsidRDefault="00BB3B1F" w:rsidP="00F65AEA">
            <w:pPr>
              <w:tabs>
                <w:tab w:val="left" w:pos="-720"/>
              </w:tabs>
              <w:jc w:val="left"/>
              <w:rPr>
                <w:rFonts w:ascii="Arial" w:hAnsi="Arial" w:cs="Arial"/>
                <w:b/>
                <w:bCs/>
                <w:color w:val="000000"/>
              </w:rPr>
            </w:pPr>
          </w:p>
        </w:tc>
        <w:tc>
          <w:tcPr>
            <w:tcW w:w="2160" w:type="dxa"/>
            <w:vAlign w:val="center"/>
          </w:tcPr>
          <w:p w:rsidR="00BB3B1F" w:rsidRDefault="00BB3B1F" w:rsidP="00F65AEA">
            <w:pPr>
              <w:tabs>
                <w:tab w:val="left" w:pos="-720"/>
              </w:tabs>
              <w:jc w:val="center"/>
              <w:rPr>
                <w:rFonts w:ascii="Arial" w:hAnsi="Arial" w:cs="Arial"/>
                <w:color w:val="000000"/>
              </w:rPr>
            </w:pPr>
          </w:p>
        </w:tc>
        <w:tc>
          <w:tcPr>
            <w:tcW w:w="1526" w:type="dxa"/>
            <w:gridSpan w:val="2"/>
            <w:vAlign w:val="center"/>
          </w:tcPr>
          <w:p w:rsidR="00BB3B1F" w:rsidRDefault="00BB3B1F" w:rsidP="00F65AEA">
            <w:pPr>
              <w:tabs>
                <w:tab w:val="left" w:pos="-720"/>
              </w:tabs>
              <w:jc w:val="center"/>
              <w:rPr>
                <w:rFonts w:ascii="Arial" w:hAnsi="Arial" w:cs="Arial"/>
                <w:color w:val="000000"/>
              </w:rPr>
            </w:pPr>
          </w:p>
        </w:tc>
      </w:tr>
      <w:tr w:rsidR="00BB3B1F" w:rsidTr="00D221B7">
        <w:trPr>
          <w:gridAfter w:val="1"/>
          <w:wAfter w:w="17" w:type="dxa"/>
        </w:trPr>
        <w:tc>
          <w:tcPr>
            <w:tcW w:w="588" w:type="dxa"/>
          </w:tcPr>
          <w:p w:rsidR="00BB3B1F" w:rsidRDefault="00BB3B1F" w:rsidP="00F65AEA">
            <w:pPr>
              <w:tabs>
                <w:tab w:val="left" w:pos="-720"/>
                <w:tab w:val="left" w:pos="360"/>
              </w:tabs>
              <w:ind w:left="360" w:hanging="360"/>
              <w:jc w:val="left"/>
              <w:rPr>
                <w:rFonts w:ascii="Arial" w:hAnsi="Arial" w:cs="Arial"/>
                <w:color w:val="000000"/>
              </w:rPr>
            </w:pPr>
          </w:p>
        </w:tc>
        <w:tc>
          <w:tcPr>
            <w:tcW w:w="3750" w:type="dxa"/>
          </w:tcPr>
          <w:p w:rsidR="00BB3B1F" w:rsidRDefault="00BB3B1F" w:rsidP="00A301B1">
            <w:pPr>
              <w:tabs>
                <w:tab w:val="left" w:pos="-720"/>
              </w:tabs>
              <w:jc w:val="left"/>
              <w:rPr>
                <w:rFonts w:ascii="Arial" w:hAnsi="Arial" w:cs="Arial"/>
                <w:color w:val="000000"/>
              </w:rPr>
            </w:pPr>
            <w:r>
              <w:rPr>
                <w:rFonts w:ascii="Arial" w:hAnsi="Arial" w:cs="Arial"/>
                <w:color w:val="000000"/>
              </w:rPr>
              <w:t xml:space="preserve">Shares of "money market funds" which are sold without any sales commission or sales charge of any kind (true no-load funds) and are rated </w:t>
            </w:r>
            <w:proofErr w:type="spellStart"/>
            <w:r>
              <w:rPr>
                <w:rFonts w:ascii="Arial" w:hAnsi="Arial" w:cs="Arial"/>
                <w:color w:val="000000"/>
              </w:rPr>
              <w:t>AAAm</w:t>
            </w:r>
            <w:proofErr w:type="spellEnd"/>
            <w:r>
              <w:rPr>
                <w:rFonts w:ascii="Arial" w:hAnsi="Arial" w:cs="Arial"/>
                <w:color w:val="000000"/>
              </w:rPr>
              <w:t xml:space="preserve"> by Standard &amp; Poor's Corporation</w:t>
            </w:r>
          </w:p>
        </w:tc>
        <w:tc>
          <w:tcPr>
            <w:tcW w:w="2070" w:type="dxa"/>
            <w:vAlign w:val="center"/>
          </w:tcPr>
          <w:p w:rsidR="00BB3B1F" w:rsidRDefault="00BB3B1F" w:rsidP="00F65AEA">
            <w:pPr>
              <w:tabs>
                <w:tab w:val="left" w:pos="-720"/>
              </w:tabs>
              <w:jc w:val="center"/>
              <w:rPr>
                <w:rFonts w:ascii="Arial" w:hAnsi="Arial" w:cs="Arial"/>
                <w:color w:val="000000"/>
              </w:rPr>
            </w:pPr>
            <w:r>
              <w:rPr>
                <w:rFonts w:ascii="Arial" w:hAnsi="Arial" w:cs="Arial"/>
                <w:color w:val="000000"/>
              </w:rPr>
              <w:t>20% of total portfolio</w:t>
            </w:r>
          </w:p>
        </w:tc>
        <w:tc>
          <w:tcPr>
            <w:tcW w:w="2160" w:type="dxa"/>
            <w:vAlign w:val="center"/>
          </w:tcPr>
          <w:p w:rsidR="00BB3B1F" w:rsidRDefault="00BB3B1F" w:rsidP="00F65AEA">
            <w:pPr>
              <w:tabs>
                <w:tab w:val="left" w:pos="-720"/>
              </w:tabs>
              <w:jc w:val="center"/>
              <w:rPr>
                <w:rFonts w:ascii="Arial" w:hAnsi="Arial" w:cs="Arial"/>
                <w:color w:val="000000"/>
              </w:rPr>
            </w:pPr>
            <w:r>
              <w:rPr>
                <w:rFonts w:ascii="Arial" w:hAnsi="Arial" w:cs="Arial"/>
                <w:color w:val="000000"/>
              </w:rPr>
              <w:t>On demand</w:t>
            </w:r>
          </w:p>
        </w:tc>
        <w:tc>
          <w:tcPr>
            <w:tcW w:w="1526" w:type="dxa"/>
            <w:gridSpan w:val="2"/>
            <w:vAlign w:val="center"/>
          </w:tcPr>
          <w:p w:rsidR="00BB3B1F" w:rsidRDefault="00BB3B1F" w:rsidP="00F65AEA">
            <w:pPr>
              <w:tabs>
                <w:tab w:val="left" w:pos="-720"/>
              </w:tabs>
              <w:jc w:val="center"/>
              <w:rPr>
                <w:rFonts w:ascii="Arial" w:hAnsi="Arial" w:cs="Arial"/>
                <w:color w:val="000000"/>
              </w:rPr>
            </w:pPr>
            <w:r>
              <w:rPr>
                <w:rFonts w:ascii="Arial" w:hAnsi="Arial" w:cs="Arial"/>
                <w:color w:val="000000"/>
              </w:rPr>
              <w:t>Yes</w:t>
            </w:r>
          </w:p>
        </w:tc>
      </w:tr>
    </w:tbl>
    <w:p w:rsidR="00831167" w:rsidRDefault="00831167" w:rsidP="008770D3">
      <w:pPr>
        <w:pStyle w:val="DeltaViewTableBody"/>
        <w:jc w:val="center"/>
      </w:pPr>
      <w:bookmarkStart w:id="83" w:name="_GoBack"/>
      <w:bookmarkEnd w:id="83"/>
    </w:p>
    <w:sectPr w:rsidR="00831167" w:rsidSect="00076ED5">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152" w:left="1440" w:header="43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50" w:rsidRDefault="00BD7D50">
      <w:r>
        <w:separator/>
      </w:r>
    </w:p>
  </w:endnote>
  <w:endnote w:type="continuationSeparator" w:id="0">
    <w:p w:rsidR="00BD7D50" w:rsidRDefault="00BD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rsidP="002572C3">
    <w:pP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8770D3">
      <w:rPr>
        <w:rStyle w:val="PageNumber"/>
        <w:noProof/>
      </w:rPr>
      <w:t>7</w:t>
    </w:r>
    <w:r>
      <w:rPr>
        <w:rStyle w:val="PageNumber"/>
      </w:rPr>
      <w:fldChar w:fldCharType="end"/>
    </w:r>
    <w:r>
      <w:rPr>
        <w:rStyle w:val="PageNumber"/>
      </w:rPr>
      <w:t>-</w:t>
    </w:r>
  </w:p>
  <w:p w:rsidR="00BD7D50" w:rsidRPr="001D120D" w:rsidRDefault="00BD7D50">
    <w:pPr>
      <w:jc w:val="left"/>
      <w:rPr>
        <w:rStyle w:val="FooterTxt"/>
      </w:rPr>
    </w:pPr>
  </w:p>
  <w:p w:rsidR="00BD7D50" w:rsidRDefault="00BD7D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50" w:rsidRDefault="00BD7D50">
      <w:r>
        <w:separator/>
      </w:r>
    </w:p>
  </w:footnote>
  <w:footnote w:type="continuationSeparator" w:id="0">
    <w:p w:rsidR="00BD7D50" w:rsidRDefault="00BD7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jc w:val="lef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8260D1E"/>
    <w:lvl w:ilvl="0">
      <w:start w:val="8"/>
      <w:numFmt w:val="decimal"/>
      <w:lvlText w:val="%1."/>
      <w:lvlJc w:val="left"/>
      <w:pPr>
        <w:tabs>
          <w:tab w:val="num" w:pos="720"/>
        </w:tabs>
        <w:ind w:left="720" w:hanging="720"/>
      </w:pPr>
      <w:rPr>
        <w:rFonts w:hint="default"/>
        <w:b/>
        <w:spacing w:val="0"/>
      </w:rPr>
    </w:lvl>
    <w:lvl w:ilvl="1">
      <w:start w:val="7"/>
      <w:numFmt w:val="decimal"/>
      <w:lvlText w:val="%1.%2"/>
      <w:lvlJc w:val="left"/>
      <w:pPr>
        <w:tabs>
          <w:tab w:val="num" w:pos="2160"/>
        </w:tabs>
        <w:ind w:left="2160" w:hanging="720"/>
      </w:pPr>
      <w:rPr>
        <w:rFonts w:hint="default"/>
        <w:b/>
        <w:spacing w:val="0"/>
      </w:rPr>
    </w:lvl>
    <w:lvl w:ilvl="2">
      <w:start w:val="1"/>
      <w:numFmt w:val="decimal"/>
      <w:lvlText w:val="%1.%2.%3."/>
      <w:lvlJc w:val="left"/>
      <w:pPr>
        <w:tabs>
          <w:tab w:val="num" w:pos="3600"/>
        </w:tabs>
        <w:ind w:left="3600" w:hanging="720"/>
      </w:pPr>
      <w:rPr>
        <w:rFonts w:hint="eastAsia"/>
        <w:b/>
        <w:spacing w:val="0"/>
      </w:rPr>
    </w:lvl>
    <w:lvl w:ilvl="3">
      <w:start w:val="1"/>
      <w:numFmt w:val="decimal"/>
      <w:lvlText w:val="%1.%2.%3.%4."/>
      <w:lvlJc w:val="left"/>
      <w:pPr>
        <w:tabs>
          <w:tab w:val="num" w:pos="5400"/>
        </w:tabs>
        <w:ind w:left="5400" w:hanging="1080"/>
      </w:pPr>
      <w:rPr>
        <w:rFonts w:hint="eastAsia"/>
        <w:b/>
        <w:spacing w:val="0"/>
      </w:rPr>
    </w:lvl>
    <w:lvl w:ilvl="4">
      <w:start w:val="1"/>
      <w:numFmt w:val="decimal"/>
      <w:lvlText w:val="%1.%2.%3.%4.%5."/>
      <w:lvlJc w:val="left"/>
      <w:pPr>
        <w:tabs>
          <w:tab w:val="num" w:pos="7200"/>
        </w:tabs>
        <w:ind w:left="7200" w:hanging="1440"/>
      </w:pPr>
      <w:rPr>
        <w:rFonts w:hint="eastAsia"/>
        <w:b/>
        <w:spacing w:val="0"/>
      </w:rPr>
    </w:lvl>
    <w:lvl w:ilvl="5">
      <w:start w:val="1"/>
      <w:numFmt w:val="decimal"/>
      <w:lvlText w:val="%1.%2.%3.%4.%5.%6."/>
      <w:lvlJc w:val="left"/>
      <w:pPr>
        <w:tabs>
          <w:tab w:val="num" w:pos="8640"/>
        </w:tabs>
        <w:ind w:left="8640" w:hanging="1440"/>
      </w:pPr>
      <w:rPr>
        <w:rFonts w:hint="eastAsia"/>
        <w:b/>
        <w:spacing w:val="0"/>
      </w:rPr>
    </w:lvl>
    <w:lvl w:ilvl="6">
      <w:start w:val="1"/>
      <w:numFmt w:val="decimal"/>
      <w:lvlText w:val="%1.%2.%3.%4.%5.%6.%7."/>
      <w:lvlJc w:val="left"/>
      <w:pPr>
        <w:tabs>
          <w:tab w:val="num" w:pos="10440"/>
        </w:tabs>
        <w:ind w:left="10440" w:hanging="1800"/>
      </w:pPr>
      <w:rPr>
        <w:rFonts w:hint="eastAsia"/>
        <w:b/>
        <w:spacing w:val="0"/>
      </w:rPr>
    </w:lvl>
    <w:lvl w:ilvl="7">
      <w:start w:val="1"/>
      <w:numFmt w:val="decimal"/>
      <w:lvlText w:val="%1.%2.%3.%4.%5.%6.%7.%8."/>
      <w:lvlJc w:val="left"/>
      <w:pPr>
        <w:tabs>
          <w:tab w:val="num" w:pos="12240"/>
        </w:tabs>
        <w:ind w:left="12240" w:hanging="2160"/>
      </w:pPr>
      <w:rPr>
        <w:rFonts w:hint="eastAsia"/>
        <w:b/>
        <w:spacing w:val="0"/>
      </w:rPr>
    </w:lvl>
    <w:lvl w:ilvl="8">
      <w:start w:val="1"/>
      <w:numFmt w:val="decimal"/>
      <w:lvlText w:val="%1.%2.%3.%4.%5.%6.%7.%8.%9."/>
      <w:lvlJc w:val="left"/>
      <w:pPr>
        <w:tabs>
          <w:tab w:val="num" w:pos="13680"/>
        </w:tabs>
        <w:ind w:left="13680" w:hanging="2160"/>
      </w:pPr>
      <w:rPr>
        <w:rFonts w:hint="eastAsia"/>
        <w:b/>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1F"/>
    <w:rsid w:val="00005C8D"/>
    <w:rsid w:val="000070DE"/>
    <w:rsid w:val="00020816"/>
    <w:rsid w:val="0004428D"/>
    <w:rsid w:val="00044965"/>
    <w:rsid w:val="000459D6"/>
    <w:rsid w:val="00051A7C"/>
    <w:rsid w:val="00076ED5"/>
    <w:rsid w:val="000B1090"/>
    <w:rsid w:val="000C128F"/>
    <w:rsid w:val="00125F03"/>
    <w:rsid w:val="001647A9"/>
    <w:rsid w:val="00170D7F"/>
    <w:rsid w:val="00176992"/>
    <w:rsid w:val="00184CED"/>
    <w:rsid w:val="001A6076"/>
    <w:rsid w:val="001C7F6C"/>
    <w:rsid w:val="001D120D"/>
    <w:rsid w:val="001E1A95"/>
    <w:rsid w:val="00217F32"/>
    <w:rsid w:val="0022652A"/>
    <w:rsid w:val="00230840"/>
    <w:rsid w:val="002572C3"/>
    <w:rsid w:val="0028061B"/>
    <w:rsid w:val="002E2458"/>
    <w:rsid w:val="00302A2B"/>
    <w:rsid w:val="003A2D60"/>
    <w:rsid w:val="003E5205"/>
    <w:rsid w:val="00400A94"/>
    <w:rsid w:val="00406E96"/>
    <w:rsid w:val="00435DD7"/>
    <w:rsid w:val="00466921"/>
    <w:rsid w:val="00475528"/>
    <w:rsid w:val="004A5607"/>
    <w:rsid w:val="004D6F3C"/>
    <w:rsid w:val="004D7263"/>
    <w:rsid w:val="0051278C"/>
    <w:rsid w:val="00520458"/>
    <w:rsid w:val="00546F9D"/>
    <w:rsid w:val="0057571C"/>
    <w:rsid w:val="005A1340"/>
    <w:rsid w:val="005A5EB5"/>
    <w:rsid w:val="005E0830"/>
    <w:rsid w:val="005E54F1"/>
    <w:rsid w:val="005F10A9"/>
    <w:rsid w:val="00601AEE"/>
    <w:rsid w:val="006341D1"/>
    <w:rsid w:val="00652A6F"/>
    <w:rsid w:val="00670979"/>
    <w:rsid w:val="006A4A6E"/>
    <w:rsid w:val="006A4DC1"/>
    <w:rsid w:val="006A5B74"/>
    <w:rsid w:val="006C1373"/>
    <w:rsid w:val="006D32EA"/>
    <w:rsid w:val="006D7599"/>
    <w:rsid w:val="006F7C45"/>
    <w:rsid w:val="007149C3"/>
    <w:rsid w:val="0072623A"/>
    <w:rsid w:val="007263B8"/>
    <w:rsid w:val="00740AE8"/>
    <w:rsid w:val="0075231C"/>
    <w:rsid w:val="007615EA"/>
    <w:rsid w:val="0077615A"/>
    <w:rsid w:val="007A48BB"/>
    <w:rsid w:val="00803121"/>
    <w:rsid w:val="008056A4"/>
    <w:rsid w:val="00831167"/>
    <w:rsid w:val="008362F8"/>
    <w:rsid w:val="00844763"/>
    <w:rsid w:val="00856B36"/>
    <w:rsid w:val="00863BE1"/>
    <w:rsid w:val="00864ED0"/>
    <w:rsid w:val="008770D3"/>
    <w:rsid w:val="008973DD"/>
    <w:rsid w:val="008E6654"/>
    <w:rsid w:val="008F4139"/>
    <w:rsid w:val="008F4F62"/>
    <w:rsid w:val="0093153D"/>
    <w:rsid w:val="00961BB9"/>
    <w:rsid w:val="00970650"/>
    <w:rsid w:val="00993BAB"/>
    <w:rsid w:val="009B70B9"/>
    <w:rsid w:val="00A160AB"/>
    <w:rsid w:val="00A301B1"/>
    <w:rsid w:val="00A3676A"/>
    <w:rsid w:val="00A74C88"/>
    <w:rsid w:val="00A75E0A"/>
    <w:rsid w:val="00A83DF4"/>
    <w:rsid w:val="00AB1F4D"/>
    <w:rsid w:val="00AB5F87"/>
    <w:rsid w:val="00B11AA5"/>
    <w:rsid w:val="00B81B91"/>
    <w:rsid w:val="00B9614F"/>
    <w:rsid w:val="00BA0634"/>
    <w:rsid w:val="00BB3B1F"/>
    <w:rsid w:val="00BC7BC6"/>
    <w:rsid w:val="00BD7D50"/>
    <w:rsid w:val="00BF4BED"/>
    <w:rsid w:val="00C103D8"/>
    <w:rsid w:val="00C4035F"/>
    <w:rsid w:val="00D0417C"/>
    <w:rsid w:val="00D14EC6"/>
    <w:rsid w:val="00D16FB1"/>
    <w:rsid w:val="00D221B7"/>
    <w:rsid w:val="00D23736"/>
    <w:rsid w:val="00D329CA"/>
    <w:rsid w:val="00D333CF"/>
    <w:rsid w:val="00D5223B"/>
    <w:rsid w:val="00D652D1"/>
    <w:rsid w:val="00D83ACC"/>
    <w:rsid w:val="00DB31B0"/>
    <w:rsid w:val="00DE3DE4"/>
    <w:rsid w:val="00E23B1E"/>
    <w:rsid w:val="00E253E5"/>
    <w:rsid w:val="00E32E9E"/>
    <w:rsid w:val="00E44189"/>
    <w:rsid w:val="00E52410"/>
    <w:rsid w:val="00E609D7"/>
    <w:rsid w:val="00E63B4E"/>
    <w:rsid w:val="00EB4478"/>
    <w:rsid w:val="00ED4F45"/>
    <w:rsid w:val="00F45417"/>
    <w:rsid w:val="00F50087"/>
    <w:rsid w:val="00F65AEA"/>
    <w:rsid w:val="00F82EE9"/>
    <w:rsid w:val="00F92EAE"/>
    <w:rsid w:val="00FA64AF"/>
    <w:rsid w:val="00FA6E69"/>
    <w:rsid w:val="00FD7E4F"/>
    <w:rsid w:val="00FE51A9"/>
    <w:rsid w:val="00FE78C3"/>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B1F"/>
    <w:pPr>
      <w:autoSpaceDE w:val="0"/>
      <w:autoSpaceDN w:val="0"/>
      <w:adjustRightInd w:val="0"/>
      <w:jc w:val="both"/>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3B1F"/>
    <w:pPr>
      <w:tabs>
        <w:tab w:val="left" w:pos="-720"/>
      </w:tabs>
      <w:spacing w:before="240" w:line="240" w:lineRule="atLeast"/>
      <w:jc w:val="left"/>
    </w:pPr>
    <w:rPr>
      <w:rFonts w:ascii="Univers (W1)" w:hAnsi="Univers (W1)" w:cs="Times New Roman"/>
    </w:rPr>
  </w:style>
  <w:style w:type="paragraph" w:customStyle="1" w:styleId="DeltaViewTableHeading">
    <w:name w:val="DeltaView Table Heading"/>
    <w:basedOn w:val="Normal"/>
    <w:rsid w:val="00BB3B1F"/>
    <w:pPr>
      <w:spacing w:after="120"/>
      <w:jc w:val="left"/>
    </w:pPr>
    <w:rPr>
      <w:rFonts w:ascii="Arial" w:hAnsi="Arial" w:cs="Arial"/>
      <w:b/>
      <w:bCs/>
    </w:rPr>
  </w:style>
  <w:style w:type="paragraph" w:customStyle="1" w:styleId="DeltaViewTableBody">
    <w:name w:val="DeltaView Table Body"/>
    <w:basedOn w:val="Normal"/>
    <w:rsid w:val="00BB3B1F"/>
    <w:pPr>
      <w:jc w:val="left"/>
    </w:pPr>
    <w:rPr>
      <w:rFonts w:ascii="Arial" w:hAnsi="Arial" w:cs="Arial"/>
    </w:rPr>
  </w:style>
  <w:style w:type="character" w:customStyle="1" w:styleId="DeltaViewInsertion">
    <w:name w:val="DeltaView Insertion"/>
    <w:rsid w:val="00BB3B1F"/>
    <w:rPr>
      <w:color w:val="0000FF"/>
      <w:spacing w:val="0"/>
      <w:u w:val="double"/>
    </w:rPr>
  </w:style>
  <w:style w:type="character" w:customStyle="1" w:styleId="DeltaViewDeletion">
    <w:name w:val="DeltaView Deletion"/>
    <w:rsid w:val="00BB3B1F"/>
    <w:rPr>
      <w:strike/>
      <w:color w:val="FF0000"/>
      <w:spacing w:val="0"/>
    </w:rPr>
  </w:style>
  <w:style w:type="character" w:customStyle="1" w:styleId="DeltaViewMoveSource">
    <w:name w:val="DeltaView Move Source"/>
    <w:rsid w:val="00BB3B1F"/>
    <w:rPr>
      <w:strike/>
      <w:color w:val="00C000"/>
      <w:spacing w:val="0"/>
    </w:rPr>
  </w:style>
  <w:style w:type="character" w:customStyle="1" w:styleId="DeltaViewMoveDestination">
    <w:name w:val="DeltaView Move Destination"/>
    <w:rsid w:val="00BB3B1F"/>
    <w:rPr>
      <w:color w:val="00C000"/>
      <w:spacing w:val="0"/>
      <w:u w:val="double"/>
    </w:rPr>
  </w:style>
  <w:style w:type="character" w:customStyle="1" w:styleId="DeltaViewFormatChange">
    <w:name w:val="DeltaView Format Change"/>
    <w:rsid w:val="00BB3B1F"/>
    <w:rPr>
      <w:color w:val="000000"/>
      <w:spacing w:val="0"/>
    </w:rPr>
  </w:style>
  <w:style w:type="character" w:customStyle="1" w:styleId="DeltaViewMovedDeletion">
    <w:name w:val="DeltaView Moved Deletion"/>
    <w:rsid w:val="00BB3B1F"/>
    <w:rPr>
      <w:strike/>
      <w:color w:val="C08080"/>
      <w:spacing w:val="0"/>
    </w:rPr>
  </w:style>
  <w:style w:type="character" w:customStyle="1" w:styleId="DeltaViewStyleChangeLabel">
    <w:name w:val="DeltaView Style Change Label"/>
    <w:rsid w:val="00BB3B1F"/>
    <w:rPr>
      <w:color w:val="000000"/>
      <w:spacing w:val="0"/>
    </w:rPr>
  </w:style>
  <w:style w:type="paragraph" w:styleId="DocumentMap">
    <w:name w:val="Document Map"/>
    <w:basedOn w:val="Normal"/>
    <w:semiHidden/>
    <w:rsid w:val="00BB3B1F"/>
    <w:pPr>
      <w:shd w:val="clear" w:color="auto" w:fill="000080"/>
    </w:pPr>
    <w:rPr>
      <w:rFonts w:ascii="Tahoma" w:hAnsi="Tahoma" w:cs="Tahoma"/>
      <w:sz w:val="20"/>
      <w:szCs w:val="20"/>
    </w:rPr>
  </w:style>
  <w:style w:type="paragraph" w:styleId="BalloonText">
    <w:name w:val="Balloon Text"/>
    <w:basedOn w:val="Normal"/>
    <w:semiHidden/>
    <w:rsid w:val="00BB3B1F"/>
    <w:rPr>
      <w:rFonts w:ascii="Tahoma" w:hAnsi="Tahoma" w:cs="Tahoma"/>
      <w:sz w:val="16"/>
      <w:szCs w:val="16"/>
    </w:rPr>
  </w:style>
  <w:style w:type="paragraph" w:styleId="Header">
    <w:name w:val="header"/>
    <w:basedOn w:val="Normal"/>
    <w:link w:val="HeaderChar"/>
    <w:rsid w:val="006A5B74"/>
    <w:pPr>
      <w:tabs>
        <w:tab w:val="center" w:pos="4680"/>
        <w:tab w:val="right" w:pos="9360"/>
      </w:tabs>
    </w:pPr>
  </w:style>
  <w:style w:type="character" w:customStyle="1" w:styleId="HeaderChar">
    <w:name w:val="Header Char"/>
    <w:basedOn w:val="DefaultParagraphFont"/>
    <w:link w:val="Header"/>
    <w:rsid w:val="006A5B74"/>
    <w:rPr>
      <w:rFonts w:ascii="Courier New" w:hAnsi="Courier New" w:cs="Courier New"/>
      <w:sz w:val="24"/>
      <w:szCs w:val="24"/>
    </w:rPr>
  </w:style>
  <w:style w:type="paragraph" w:styleId="Footer">
    <w:name w:val="footer"/>
    <w:basedOn w:val="Normal"/>
    <w:link w:val="FooterChar"/>
    <w:rsid w:val="006A5B74"/>
    <w:pPr>
      <w:tabs>
        <w:tab w:val="center" w:pos="4680"/>
        <w:tab w:val="right" w:pos="9360"/>
      </w:tabs>
    </w:pPr>
  </w:style>
  <w:style w:type="character" w:customStyle="1" w:styleId="FooterChar">
    <w:name w:val="Footer Char"/>
    <w:basedOn w:val="DefaultParagraphFont"/>
    <w:link w:val="Footer"/>
    <w:rsid w:val="006A5B74"/>
    <w:rPr>
      <w:rFonts w:ascii="Courier New" w:hAnsi="Courier New" w:cs="Courier New"/>
      <w:sz w:val="24"/>
      <w:szCs w:val="24"/>
    </w:rPr>
  </w:style>
  <w:style w:type="paragraph" w:styleId="Revision">
    <w:name w:val="Revision"/>
    <w:hidden/>
    <w:uiPriority w:val="99"/>
    <w:semiHidden/>
    <w:rsid w:val="00993BAB"/>
    <w:rPr>
      <w:rFonts w:ascii="Courier New" w:hAnsi="Courier New" w:cs="Courier New"/>
      <w:sz w:val="24"/>
      <w:szCs w:val="24"/>
    </w:rPr>
  </w:style>
  <w:style w:type="character" w:styleId="PageNumber">
    <w:name w:val="page number"/>
    <w:basedOn w:val="DefaultParagraphFont"/>
    <w:rsid w:val="002572C3"/>
  </w:style>
  <w:style w:type="character" w:customStyle="1" w:styleId="FooterTxt">
    <w:name w:val="FooterTxt"/>
    <w:basedOn w:val="DefaultParagraphFont"/>
    <w:rsid w:val="002572C3"/>
    <w:rPr>
      <w:rFonts w:ascii="Courier New" w:hAnsi="Courier New" w:cs="Courier New"/>
      <w:sz w:val="16"/>
    </w:rPr>
  </w:style>
  <w:style w:type="character" w:styleId="CommentReference">
    <w:name w:val="annotation reference"/>
    <w:basedOn w:val="DefaultParagraphFont"/>
    <w:rsid w:val="009B70B9"/>
    <w:rPr>
      <w:sz w:val="16"/>
      <w:szCs w:val="16"/>
    </w:rPr>
  </w:style>
  <w:style w:type="paragraph" w:styleId="CommentText">
    <w:name w:val="annotation text"/>
    <w:basedOn w:val="Normal"/>
    <w:link w:val="CommentTextChar"/>
    <w:rsid w:val="009B70B9"/>
    <w:rPr>
      <w:sz w:val="20"/>
      <w:szCs w:val="20"/>
    </w:rPr>
  </w:style>
  <w:style w:type="character" w:customStyle="1" w:styleId="CommentTextChar">
    <w:name w:val="Comment Text Char"/>
    <w:basedOn w:val="DefaultParagraphFont"/>
    <w:link w:val="CommentText"/>
    <w:rsid w:val="009B70B9"/>
    <w:rPr>
      <w:rFonts w:ascii="Courier New" w:hAnsi="Courier New" w:cs="Courier New"/>
    </w:rPr>
  </w:style>
  <w:style w:type="paragraph" w:styleId="CommentSubject">
    <w:name w:val="annotation subject"/>
    <w:basedOn w:val="CommentText"/>
    <w:next w:val="CommentText"/>
    <w:link w:val="CommentSubjectChar"/>
    <w:rsid w:val="009B70B9"/>
    <w:rPr>
      <w:b/>
      <w:bCs/>
    </w:rPr>
  </w:style>
  <w:style w:type="character" w:customStyle="1" w:styleId="CommentSubjectChar">
    <w:name w:val="Comment Subject Char"/>
    <w:basedOn w:val="CommentTextChar"/>
    <w:link w:val="CommentSubject"/>
    <w:rsid w:val="009B70B9"/>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B1F"/>
    <w:pPr>
      <w:autoSpaceDE w:val="0"/>
      <w:autoSpaceDN w:val="0"/>
      <w:adjustRightInd w:val="0"/>
      <w:jc w:val="both"/>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3B1F"/>
    <w:pPr>
      <w:tabs>
        <w:tab w:val="left" w:pos="-720"/>
      </w:tabs>
      <w:spacing w:before="240" w:line="240" w:lineRule="atLeast"/>
      <w:jc w:val="left"/>
    </w:pPr>
    <w:rPr>
      <w:rFonts w:ascii="Univers (W1)" w:hAnsi="Univers (W1)" w:cs="Times New Roman"/>
    </w:rPr>
  </w:style>
  <w:style w:type="paragraph" w:customStyle="1" w:styleId="DeltaViewTableHeading">
    <w:name w:val="DeltaView Table Heading"/>
    <w:basedOn w:val="Normal"/>
    <w:rsid w:val="00BB3B1F"/>
    <w:pPr>
      <w:spacing w:after="120"/>
      <w:jc w:val="left"/>
    </w:pPr>
    <w:rPr>
      <w:rFonts w:ascii="Arial" w:hAnsi="Arial" w:cs="Arial"/>
      <w:b/>
      <w:bCs/>
    </w:rPr>
  </w:style>
  <w:style w:type="paragraph" w:customStyle="1" w:styleId="DeltaViewTableBody">
    <w:name w:val="DeltaView Table Body"/>
    <w:basedOn w:val="Normal"/>
    <w:rsid w:val="00BB3B1F"/>
    <w:pPr>
      <w:jc w:val="left"/>
    </w:pPr>
    <w:rPr>
      <w:rFonts w:ascii="Arial" w:hAnsi="Arial" w:cs="Arial"/>
    </w:rPr>
  </w:style>
  <w:style w:type="character" w:customStyle="1" w:styleId="DeltaViewInsertion">
    <w:name w:val="DeltaView Insertion"/>
    <w:rsid w:val="00BB3B1F"/>
    <w:rPr>
      <w:color w:val="0000FF"/>
      <w:spacing w:val="0"/>
      <w:u w:val="double"/>
    </w:rPr>
  </w:style>
  <w:style w:type="character" w:customStyle="1" w:styleId="DeltaViewDeletion">
    <w:name w:val="DeltaView Deletion"/>
    <w:rsid w:val="00BB3B1F"/>
    <w:rPr>
      <w:strike/>
      <w:color w:val="FF0000"/>
      <w:spacing w:val="0"/>
    </w:rPr>
  </w:style>
  <w:style w:type="character" w:customStyle="1" w:styleId="DeltaViewMoveSource">
    <w:name w:val="DeltaView Move Source"/>
    <w:rsid w:val="00BB3B1F"/>
    <w:rPr>
      <w:strike/>
      <w:color w:val="00C000"/>
      <w:spacing w:val="0"/>
    </w:rPr>
  </w:style>
  <w:style w:type="character" w:customStyle="1" w:styleId="DeltaViewMoveDestination">
    <w:name w:val="DeltaView Move Destination"/>
    <w:rsid w:val="00BB3B1F"/>
    <w:rPr>
      <w:color w:val="00C000"/>
      <w:spacing w:val="0"/>
      <w:u w:val="double"/>
    </w:rPr>
  </w:style>
  <w:style w:type="character" w:customStyle="1" w:styleId="DeltaViewFormatChange">
    <w:name w:val="DeltaView Format Change"/>
    <w:rsid w:val="00BB3B1F"/>
    <w:rPr>
      <w:color w:val="000000"/>
      <w:spacing w:val="0"/>
    </w:rPr>
  </w:style>
  <w:style w:type="character" w:customStyle="1" w:styleId="DeltaViewMovedDeletion">
    <w:name w:val="DeltaView Moved Deletion"/>
    <w:rsid w:val="00BB3B1F"/>
    <w:rPr>
      <w:strike/>
      <w:color w:val="C08080"/>
      <w:spacing w:val="0"/>
    </w:rPr>
  </w:style>
  <w:style w:type="character" w:customStyle="1" w:styleId="DeltaViewStyleChangeLabel">
    <w:name w:val="DeltaView Style Change Label"/>
    <w:rsid w:val="00BB3B1F"/>
    <w:rPr>
      <w:color w:val="000000"/>
      <w:spacing w:val="0"/>
    </w:rPr>
  </w:style>
  <w:style w:type="paragraph" w:styleId="DocumentMap">
    <w:name w:val="Document Map"/>
    <w:basedOn w:val="Normal"/>
    <w:semiHidden/>
    <w:rsid w:val="00BB3B1F"/>
    <w:pPr>
      <w:shd w:val="clear" w:color="auto" w:fill="000080"/>
    </w:pPr>
    <w:rPr>
      <w:rFonts w:ascii="Tahoma" w:hAnsi="Tahoma" w:cs="Tahoma"/>
      <w:sz w:val="20"/>
      <w:szCs w:val="20"/>
    </w:rPr>
  </w:style>
  <w:style w:type="paragraph" w:styleId="BalloonText">
    <w:name w:val="Balloon Text"/>
    <w:basedOn w:val="Normal"/>
    <w:semiHidden/>
    <w:rsid w:val="00BB3B1F"/>
    <w:rPr>
      <w:rFonts w:ascii="Tahoma" w:hAnsi="Tahoma" w:cs="Tahoma"/>
      <w:sz w:val="16"/>
      <w:szCs w:val="16"/>
    </w:rPr>
  </w:style>
  <w:style w:type="paragraph" w:styleId="Header">
    <w:name w:val="header"/>
    <w:basedOn w:val="Normal"/>
    <w:link w:val="HeaderChar"/>
    <w:rsid w:val="006A5B74"/>
    <w:pPr>
      <w:tabs>
        <w:tab w:val="center" w:pos="4680"/>
        <w:tab w:val="right" w:pos="9360"/>
      </w:tabs>
    </w:pPr>
  </w:style>
  <w:style w:type="character" w:customStyle="1" w:styleId="HeaderChar">
    <w:name w:val="Header Char"/>
    <w:basedOn w:val="DefaultParagraphFont"/>
    <w:link w:val="Header"/>
    <w:rsid w:val="006A5B74"/>
    <w:rPr>
      <w:rFonts w:ascii="Courier New" w:hAnsi="Courier New" w:cs="Courier New"/>
      <w:sz w:val="24"/>
      <w:szCs w:val="24"/>
    </w:rPr>
  </w:style>
  <w:style w:type="paragraph" w:styleId="Footer">
    <w:name w:val="footer"/>
    <w:basedOn w:val="Normal"/>
    <w:link w:val="FooterChar"/>
    <w:rsid w:val="006A5B74"/>
    <w:pPr>
      <w:tabs>
        <w:tab w:val="center" w:pos="4680"/>
        <w:tab w:val="right" w:pos="9360"/>
      </w:tabs>
    </w:pPr>
  </w:style>
  <w:style w:type="character" w:customStyle="1" w:styleId="FooterChar">
    <w:name w:val="Footer Char"/>
    <w:basedOn w:val="DefaultParagraphFont"/>
    <w:link w:val="Footer"/>
    <w:rsid w:val="006A5B74"/>
    <w:rPr>
      <w:rFonts w:ascii="Courier New" w:hAnsi="Courier New" w:cs="Courier New"/>
      <w:sz w:val="24"/>
      <w:szCs w:val="24"/>
    </w:rPr>
  </w:style>
  <w:style w:type="paragraph" w:styleId="Revision">
    <w:name w:val="Revision"/>
    <w:hidden/>
    <w:uiPriority w:val="99"/>
    <w:semiHidden/>
    <w:rsid w:val="00993BAB"/>
    <w:rPr>
      <w:rFonts w:ascii="Courier New" w:hAnsi="Courier New" w:cs="Courier New"/>
      <w:sz w:val="24"/>
      <w:szCs w:val="24"/>
    </w:rPr>
  </w:style>
  <w:style w:type="character" w:styleId="PageNumber">
    <w:name w:val="page number"/>
    <w:basedOn w:val="DefaultParagraphFont"/>
    <w:rsid w:val="002572C3"/>
  </w:style>
  <w:style w:type="character" w:customStyle="1" w:styleId="FooterTxt">
    <w:name w:val="FooterTxt"/>
    <w:basedOn w:val="DefaultParagraphFont"/>
    <w:rsid w:val="002572C3"/>
    <w:rPr>
      <w:rFonts w:ascii="Courier New" w:hAnsi="Courier New" w:cs="Courier New"/>
      <w:sz w:val="16"/>
    </w:rPr>
  </w:style>
  <w:style w:type="character" w:styleId="CommentReference">
    <w:name w:val="annotation reference"/>
    <w:basedOn w:val="DefaultParagraphFont"/>
    <w:rsid w:val="009B70B9"/>
    <w:rPr>
      <w:sz w:val="16"/>
      <w:szCs w:val="16"/>
    </w:rPr>
  </w:style>
  <w:style w:type="paragraph" w:styleId="CommentText">
    <w:name w:val="annotation text"/>
    <w:basedOn w:val="Normal"/>
    <w:link w:val="CommentTextChar"/>
    <w:rsid w:val="009B70B9"/>
    <w:rPr>
      <w:sz w:val="20"/>
      <w:szCs w:val="20"/>
    </w:rPr>
  </w:style>
  <w:style w:type="character" w:customStyle="1" w:styleId="CommentTextChar">
    <w:name w:val="Comment Text Char"/>
    <w:basedOn w:val="DefaultParagraphFont"/>
    <w:link w:val="CommentText"/>
    <w:rsid w:val="009B70B9"/>
    <w:rPr>
      <w:rFonts w:ascii="Courier New" w:hAnsi="Courier New" w:cs="Courier New"/>
    </w:rPr>
  </w:style>
  <w:style w:type="paragraph" w:styleId="CommentSubject">
    <w:name w:val="annotation subject"/>
    <w:basedOn w:val="CommentText"/>
    <w:next w:val="CommentText"/>
    <w:link w:val="CommentSubjectChar"/>
    <w:rsid w:val="009B70B9"/>
    <w:rPr>
      <w:b/>
      <w:bCs/>
    </w:rPr>
  </w:style>
  <w:style w:type="character" w:customStyle="1" w:styleId="CommentSubjectChar">
    <w:name w:val="Comment Subject Char"/>
    <w:basedOn w:val="CommentTextChar"/>
    <w:link w:val="CommentSubject"/>
    <w:rsid w:val="009B70B9"/>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2866</Words>
  <Characters>15692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2013-06-10T22:05:00Z</dcterms:created>
  <dcterms:modified xsi:type="dcterms:W3CDTF">2013-06-10T22:08:00Z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G Trailer">
    <vt:lpwstr>B0785-0001\1460475v1.doc</vt:lpwstr>
  </property>
</Properties>
</file>